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5DC3E">
      <w:pPr>
        <w:spacing w:line="360" w:lineRule="auto"/>
        <w:jc w:val="center"/>
        <w:rPr>
          <w:rFonts w:ascii="宋体" w:hAnsi="宋体"/>
          <w:sz w:val="24"/>
        </w:rPr>
      </w:pPr>
    </w:p>
    <w:p w14:paraId="781F0199">
      <w:pPr>
        <w:spacing w:line="360" w:lineRule="auto"/>
        <w:jc w:val="center"/>
        <w:rPr>
          <w:rFonts w:ascii="宋体" w:hAnsi="宋体"/>
          <w:sz w:val="24"/>
        </w:rPr>
      </w:pPr>
    </w:p>
    <w:p w14:paraId="588D4AEF">
      <w:pPr>
        <w:spacing w:line="360" w:lineRule="auto"/>
        <w:jc w:val="center"/>
        <w:rPr>
          <w:rFonts w:ascii="宋体" w:hAnsi="宋体"/>
          <w:sz w:val="24"/>
        </w:rPr>
      </w:pPr>
    </w:p>
    <w:p w14:paraId="3F809282">
      <w:pPr>
        <w:spacing w:line="360" w:lineRule="auto"/>
        <w:jc w:val="center"/>
        <w:rPr>
          <w:rFonts w:ascii="宋体" w:hAnsi="宋体"/>
          <w:sz w:val="24"/>
        </w:rPr>
      </w:pPr>
    </w:p>
    <w:p w14:paraId="77E6C3D2">
      <w:pPr>
        <w:spacing w:line="360" w:lineRule="auto"/>
        <w:ind w:left="2088" w:hanging="2088" w:hangingChars="400"/>
        <w:jc w:val="both"/>
        <w:rPr>
          <w:rFonts w:ascii="宋体" w:hAnsi="宋体"/>
          <w:b/>
          <w:bCs/>
          <w:sz w:val="52"/>
          <w:szCs w:val="52"/>
        </w:rPr>
      </w:pPr>
      <w:r>
        <w:rPr>
          <w:rFonts w:ascii="宋体" w:hAnsi="宋体"/>
          <w:b/>
          <w:bCs/>
          <w:sz w:val="52"/>
          <w:szCs w:val="52"/>
        </w:rPr>
        <w:t>2024</w:t>
      </w:r>
      <w:r>
        <w:rPr>
          <w:rFonts w:hint="eastAsia" w:ascii="宋体" w:hAnsi="宋体"/>
          <w:b/>
          <w:bCs/>
          <w:sz w:val="52"/>
          <w:szCs w:val="52"/>
        </w:rPr>
        <w:t>年度鄂温克族自治旗政务服务与数据管理局部门公开报告</w:t>
      </w:r>
    </w:p>
    <w:p w14:paraId="6AF33ABC">
      <w:pPr>
        <w:spacing w:line="360" w:lineRule="auto"/>
        <w:jc w:val="center"/>
        <w:rPr>
          <w:rFonts w:ascii="宋体" w:hAnsi="宋体"/>
          <w:b/>
          <w:bCs/>
          <w:sz w:val="52"/>
          <w:szCs w:val="52"/>
        </w:rPr>
      </w:pPr>
    </w:p>
    <w:p w14:paraId="10212A6C">
      <w:pPr>
        <w:spacing w:line="360" w:lineRule="auto"/>
        <w:jc w:val="center"/>
        <w:rPr>
          <w:rFonts w:ascii="宋体" w:hAnsi="宋体"/>
          <w:b/>
          <w:bCs/>
          <w:sz w:val="52"/>
          <w:szCs w:val="52"/>
        </w:rPr>
      </w:pPr>
    </w:p>
    <w:p w14:paraId="636528E7">
      <w:pPr>
        <w:spacing w:line="360" w:lineRule="auto"/>
        <w:jc w:val="center"/>
        <w:rPr>
          <w:rFonts w:ascii="宋体" w:hAnsi="宋体"/>
          <w:b/>
          <w:bCs/>
          <w:sz w:val="52"/>
          <w:szCs w:val="52"/>
        </w:rPr>
      </w:pPr>
    </w:p>
    <w:p w14:paraId="25E93503">
      <w:pPr>
        <w:spacing w:line="360" w:lineRule="auto"/>
        <w:ind w:left="4477" w:leftChars="608" w:hanging="3200" w:hangingChars="1000"/>
        <w:jc w:val="left"/>
        <w:rPr>
          <w:rFonts w:ascii="宋体" w:hAnsi="宋体"/>
          <w:sz w:val="32"/>
          <w:szCs w:val="32"/>
        </w:rPr>
      </w:pPr>
      <w:r>
        <w:rPr>
          <w:rFonts w:hint="eastAsia" w:ascii="宋体" w:hAnsi="宋体"/>
          <w:sz w:val="32"/>
          <w:szCs w:val="32"/>
        </w:rPr>
        <w:t>部门（单位）名称：内蒙古自治区呼伦贝尔市鄂温克族自</w:t>
      </w:r>
      <w:r>
        <w:rPr>
          <w:rFonts w:hint="eastAsia" w:ascii="宋体" w:hAnsi="宋体"/>
          <w:sz w:val="32"/>
          <w:szCs w:val="32"/>
          <w:lang w:eastAsia="zh-CN"/>
        </w:rPr>
        <w:t>治</w:t>
      </w:r>
      <w:r>
        <w:rPr>
          <w:rFonts w:hint="eastAsia" w:ascii="宋体" w:hAnsi="宋体"/>
          <w:sz w:val="32"/>
          <w:szCs w:val="32"/>
        </w:rPr>
        <w:t>旗政务服务与数据管理局</w:t>
      </w:r>
    </w:p>
    <w:p w14:paraId="602A1139">
      <w:pPr>
        <w:spacing w:line="360" w:lineRule="auto"/>
        <w:ind w:firstLine="1280" w:firstLineChars="400"/>
        <w:jc w:val="left"/>
        <w:rPr>
          <w:rFonts w:ascii="宋体" w:hAnsi="宋体"/>
          <w:sz w:val="32"/>
          <w:szCs w:val="32"/>
        </w:rPr>
      </w:pPr>
      <w:r>
        <w:rPr>
          <w:rFonts w:hint="eastAsia" w:ascii="宋体" w:hAnsi="宋体"/>
          <w:sz w:val="32"/>
          <w:szCs w:val="32"/>
        </w:rPr>
        <w:t xml:space="preserve">单位负责人：      </w:t>
      </w:r>
      <w:r>
        <w:rPr>
          <w:rFonts w:hint="eastAsia" w:ascii="宋体" w:hAnsi="宋体"/>
          <w:sz w:val="32"/>
          <w:szCs w:val="32"/>
          <w:lang w:val="en-US" w:eastAsia="zh-CN"/>
        </w:rPr>
        <w:t xml:space="preserve"> </w:t>
      </w:r>
      <w:r>
        <w:rPr>
          <w:rFonts w:hint="eastAsia" w:ascii="宋体" w:hAnsi="宋体"/>
          <w:sz w:val="32"/>
          <w:szCs w:val="32"/>
        </w:rPr>
        <w:t>王博</w:t>
      </w:r>
    </w:p>
    <w:p w14:paraId="4A6AA725">
      <w:pPr>
        <w:spacing w:line="360" w:lineRule="auto"/>
        <w:ind w:firstLine="1280" w:firstLineChars="400"/>
        <w:jc w:val="left"/>
        <w:rPr>
          <w:rFonts w:ascii="宋体" w:hAnsi="宋体"/>
          <w:sz w:val="32"/>
          <w:szCs w:val="32"/>
        </w:rPr>
      </w:pPr>
      <w:r>
        <w:rPr>
          <w:rFonts w:hint="eastAsia" w:ascii="宋体" w:hAnsi="宋体"/>
          <w:sz w:val="32"/>
          <w:szCs w:val="32"/>
        </w:rPr>
        <w:t>财务负责人：      白永梅</w:t>
      </w:r>
    </w:p>
    <w:p w14:paraId="39744D68">
      <w:pPr>
        <w:spacing w:line="360" w:lineRule="auto"/>
        <w:ind w:firstLine="1280" w:firstLineChars="400"/>
        <w:jc w:val="left"/>
        <w:rPr>
          <w:rFonts w:ascii="宋体" w:hAnsi="宋体"/>
          <w:sz w:val="32"/>
          <w:szCs w:val="32"/>
        </w:rPr>
      </w:pPr>
      <w:r>
        <w:rPr>
          <w:rFonts w:hint="eastAsia" w:ascii="宋体" w:hAnsi="宋体"/>
          <w:sz w:val="32"/>
          <w:szCs w:val="32"/>
        </w:rPr>
        <w:t>编制人：          娜仁花</w:t>
      </w:r>
    </w:p>
    <w:p w14:paraId="1A06B55D">
      <w:pPr>
        <w:spacing w:line="360" w:lineRule="auto"/>
        <w:ind w:firstLine="1280" w:firstLineChars="400"/>
        <w:jc w:val="left"/>
        <w:rPr>
          <w:rFonts w:ascii="宋体" w:hAnsi="宋体"/>
          <w:b/>
          <w:bCs/>
          <w:sz w:val="52"/>
          <w:szCs w:val="52"/>
        </w:rPr>
      </w:pPr>
      <w:r>
        <w:rPr>
          <w:rFonts w:hint="eastAsia" w:ascii="宋体" w:hAnsi="宋体"/>
          <w:sz w:val="32"/>
          <w:szCs w:val="32"/>
        </w:rPr>
        <w:t xml:space="preserve">报送日期：        </w:t>
      </w:r>
      <w:r>
        <w:rPr>
          <w:rFonts w:ascii="宋体" w:hAnsi="宋体"/>
          <w:sz w:val="32"/>
          <w:szCs w:val="32"/>
        </w:rPr>
        <w:t>202</w:t>
      </w:r>
      <w:r>
        <w:rPr>
          <w:rFonts w:hint="eastAsia" w:ascii="宋体" w:hAnsi="宋体"/>
          <w:sz w:val="32"/>
          <w:szCs w:val="32"/>
          <w:lang w:val="en-US" w:eastAsia="zh-CN"/>
        </w:rPr>
        <w:t>5</w:t>
      </w:r>
      <w:r>
        <w:rPr>
          <w:rFonts w:hint="eastAsia" w:ascii="宋体" w:hAnsi="宋体"/>
          <w:sz w:val="32"/>
          <w:szCs w:val="32"/>
        </w:rPr>
        <w:t>年</w:t>
      </w:r>
      <w:r>
        <w:rPr>
          <w:rFonts w:hint="eastAsia" w:ascii="宋体" w:hAnsi="宋体"/>
          <w:sz w:val="32"/>
          <w:szCs w:val="32"/>
          <w:lang w:val="en-US" w:eastAsia="zh-CN"/>
        </w:rPr>
        <w:t>8月</w:t>
      </w:r>
    </w:p>
    <w:p w14:paraId="1D89E7A7">
      <w:pPr>
        <w:spacing w:line="360" w:lineRule="auto"/>
        <w:jc w:val="center"/>
        <w:rPr>
          <w:rFonts w:ascii="宋体" w:hAnsi="宋体"/>
          <w:b/>
          <w:bCs/>
          <w:sz w:val="52"/>
          <w:szCs w:val="52"/>
        </w:rPr>
      </w:pPr>
    </w:p>
    <w:p w14:paraId="6DF3B2CE">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14:paraId="1C9A9517">
      <w:pPr>
        <w:widowControl/>
        <w:spacing w:after="240"/>
        <w:jc w:val="center"/>
        <w:rPr>
          <w:rFonts w:ascii="Times New Roman" w:hAnsi="Times New Roman" w:eastAsia="Times New Roman" w:cs="Times New Roman"/>
          <w:kern w:val="0"/>
          <w:sz w:val="24"/>
        </w:rPr>
      </w:pPr>
      <w:bookmarkStart w:id="0" w:name="a000"/>
      <w:r>
        <w:rPr>
          <w:rFonts w:ascii="仿宋_GB2312" w:hAnsi="仿宋_GB2312" w:eastAsia="仿宋_GB2312" w:cs="仿宋_GB2312"/>
          <w:b/>
          <w:bCs/>
          <w:kern w:val="0"/>
          <w:sz w:val="54"/>
          <w:szCs w:val="54"/>
        </w:rPr>
        <w:t>目 录</w:t>
      </w:r>
    </w:p>
    <w:p w14:paraId="4E980374">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14:paraId="254BA0E5">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 部门（单位）概况</w:t>
      </w:r>
    </w:p>
    <w:p w14:paraId="1E8EA8E3">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一、主要职能、职责</w:t>
      </w:r>
    </w:p>
    <w:p w14:paraId="456328CB">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二、部门（单位）机构设置及决算单位构成情况</w:t>
      </w:r>
    </w:p>
    <w:p w14:paraId="578CA18B">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三、2024年度部门（单位）主要工作完成情况</w:t>
      </w:r>
    </w:p>
    <w:p w14:paraId="179EFB15">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 部门（单位）决算情况说明</w:t>
      </w:r>
    </w:p>
    <w:p w14:paraId="1C2C05DA">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一、收入支出决算总体情况说明</w:t>
      </w:r>
    </w:p>
    <w:p w14:paraId="06F471B2">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二、收入决算情况说明</w:t>
      </w:r>
    </w:p>
    <w:p w14:paraId="71F71840">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三、支出决算情况说明</w:t>
      </w:r>
    </w:p>
    <w:p w14:paraId="325A73D4">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四、财政拨款收入支出决算总体情况说明</w:t>
      </w:r>
    </w:p>
    <w:p w14:paraId="1D09D9DB">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五、一般公共预算财政拨款支出决算情况说明</w:t>
      </w:r>
    </w:p>
    <w:p w14:paraId="4F4C804E">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六、一般公共预算财政拨款基本支出决算情况说明</w:t>
      </w:r>
    </w:p>
    <w:p w14:paraId="099A2BF5">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七、一般公共预算财政拨款项目支出决算情况说明</w:t>
      </w:r>
    </w:p>
    <w:p w14:paraId="5F4657A7">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八、财政拨款“三公”经费支出决算情况说明</w:t>
      </w:r>
    </w:p>
    <w:p w14:paraId="05C22A10">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九、政府性基金预算财政拨款支出决算情况说明</w:t>
      </w:r>
    </w:p>
    <w:p w14:paraId="10586A08">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十、国有资本经营预算财政拨款支出决算情况说明</w:t>
      </w:r>
    </w:p>
    <w:p w14:paraId="4B4313F7">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十一、机关运行经费（公用经费）支出决算情况说明</w:t>
      </w:r>
    </w:p>
    <w:p w14:paraId="2956C4A0">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十二、政府采购支出决算情况说明</w:t>
      </w:r>
    </w:p>
    <w:p w14:paraId="15E6CC5A">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十三、国有资产占用情况说明</w:t>
      </w:r>
    </w:p>
    <w:p w14:paraId="77835E13">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十四、预算绩效情况说明</w:t>
      </w:r>
    </w:p>
    <w:p w14:paraId="2DF45A6D">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 名词解释</w:t>
      </w:r>
    </w:p>
    <w:p w14:paraId="00502A02">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第四部分 决算公开联系方式及信息反馈渠道</w:t>
      </w:r>
    </w:p>
    <w:p w14:paraId="68F69EA1">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第五部分 部门（单位）决算表</w:t>
      </w:r>
    </w:p>
    <w:p w14:paraId="5A8B85FA">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一、收入支出决算总表</w:t>
      </w:r>
    </w:p>
    <w:p w14:paraId="4E85BC2E">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二、收入决算表</w:t>
      </w:r>
    </w:p>
    <w:p w14:paraId="3B8158B2">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三、支出决算表</w:t>
      </w:r>
    </w:p>
    <w:p w14:paraId="1B6DC574">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四、财政拨款收入支出决算总表</w:t>
      </w:r>
    </w:p>
    <w:p w14:paraId="11F6A706">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五、一般公共预算财政拨款支出决算表</w:t>
      </w:r>
    </w:p>
    <w:p w14:paraId="38300E1D">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六、一般公共预算财政拨款基本支出决算明细表</w:t>
      </w:r>
    </w:p>
    <w:p w14:paraId="7C57892B">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七、一般公共预算财政拨款项目支出决算明细表</w:t>
      </w:r>
    </w:p>
    <w:p w14:paraId="2A863FA7">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八、政府性基金预算财政拨款收入支出决算表</w:t>
      </w:r>
    </w:p>
    <w:p w14:paraId="6DD2788D">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九、国有资本经营预算财政拨款收入支出决算表</w:t>
      </w:r>
    </w:p>
    <w:p w14:paraId="40A97F4D">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十、财政拨款“三公”经费支出决算表</w:t>
      </w:r>
    </w:p>
    <w:p w14:paraId="36828767">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十一、机关运行经费支出、国有资产占用情况及政府采购支出信息表</w:t>
      </w:r>
    </w:p>
    <w:p w14:paraId="228A5BC3">
      <w:pPr>
        <w:pStyle w:val="3"/>
        <w:keepNext w:val="0"/>
        <w:keepLines w:val="0"/>
        <w:widowControl/>
        <w:spacing w:before="299" w:after="299" w:line="240" w:lineRule="auto"/>
        <w:jc w:val="center"/>
        <w:rPr>
          <w:rFonts w:ascii="Times New Roman" w:hAnsi="Times New Roman" w:eastAsia="Times New Roman" w:cs="Times New Roman"/>
          <w:b/>
          <w:bCs/>
          <w:kern w:val="0"/>
          <w:sz w:val="32"/>
          <w:szCs w:val="32"/>
        </w:rPr>
      </w:pPr>
      <w:r>
        <w:rPr>
          <w:rFonts w:ascii="fang_zheng_xiao_biao_song_ti" w:hAnsi="fang_zheng_xiao_biao_song_ti" w:eastAsia="fang_zheng_xiao_biao_song_ti" w:cs="fang_zheng_xiao_biao_song_ti"/>
          <w:kern w:val="0"/>
          <w:sz w:val="32"/>
          <w:szCs w:val="32"/>
        </w:rPr>
        <w:t>第一部分 部门（单位）概况</w:t>
      </w:r>
    </w:p>
    <w:p w14:paraId="31731B98">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黑体" w:hAnsi="黑体" w:eastAsia="黑体" w:cs="黑体"/>
          <w:b/>
          <w:bCs/>
          <w:kern w:val="0"/>
          <w:sz w:val="32"/>
          <w:szCs w:val="32"/>
        </w:rPr>
        <w:t>一、主要职能、职责</w:t>
      </w:r>
    </w:p>
    <w:p w14:paraId="257DD4E5">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ascii="仿宋_GB2312" w:hAnsi="仿宋_GB2312" w:eastAsia="仿宋_GB2312" w:cs="仿宋_GB2312"/>
          <w:color w:val="0E00FE"/>
          <w:kern w:val="0"/>
          <w:sz w:val="32"/>
          <w:szCs w:val="32"/>
        </w:rPr>
        <w:t> </w:t>
      </w: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sz w:val="32"/>
          <w:szCs w:val="32"/>
        </w:rPr>
        <w:t>鄂温克族自治旗政务服务与数据管理局是鄂温克族自治旗人民政府工作部门，旗政数局贯彻落实党中央关于政务服务工作的方针政策，落实自治区党委、呼伦贝尔市委、鄂温克旗委相关决策部署，在履行职责过程中坚持和加强党对政务服务工作的集中统一领导。</w:t>
      </w:r>
    </w:p>
    <w:p w14:paraId="34D6B817">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部门主要职责：</w:t>
      </w:r>
    </w:p>
    <w:p w14:paraId="2D31D976">
      <w:pPr>
        <w:keepNext w:val="0"/>
        <w:keepLines w:val="0"/>
        <w:pageBreakBefore w:val="0"/>
        <w:kinsoku/>
        <w:wordWrap/>
        <w:overflowPunct/>
        <w:topLinePunct w:val="0"/>
        <w:autoSpaceDE/>
        <w:autoSpaceDN/>
        <w:bidi w:val="0"/>
        <w:adjustRightInd/>
        <w:snapToGrid w:val="0"/>
        <w:spacing w:line="360" w:lineRule="auto"/>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贯彻执行国家、自治区关于政务服务工作的法律法规及有关政策。负责全旗政府政务服务、电子政务、政务公开和公共资源交易等工作。拟订相关政策措施、工作计划、规范文件、配套制度并组织实施。指导苏木乡镇、旗直部门有关工作。</w:t>
      </w:r>
    </w:p>
    <w:p w14:paraId="6B0F5FC0">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全旗“放管服”改革相关工作。贯彻落实国家行政审批改革政策，参与协调全旗行政审批制度改革。贯彻落实政府职能转变和“放管服”改革的政策措施，对重大问题进行调查研究，提出相关工作建议，指导督促各地区各部门落实相关改革措施。</w:t>
      </w:r>
    </w:p>
    <w:p w14:paraId="56FFAEF5">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指导全旗政务服务工作。负责全旗行政权力和公共服务事项标准化、规范化建设及应用工作。协调促进优化政务服务流程，构建统一的政务服务体系。负责全旗“互联网+政务服务”组织管理工作，推进“互联网+监管”应用，推行政务服务电子监察工作，创新、落实便民利企政务服务方式。</w:t>
      </w:r>
    </w:p>
    <w:p w14:paraId="2AB717FC">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统筹指导旗政府系统电子政务工作。负责全旗一体化网上政务服务平台规划、组织推进、统筹协调和监督指导工作。规划监管全旗政府网站，负责鄂温克族自治旗人民政府网站的建设管理工作，协调各地区各部门参与鄂温克族自治旗人民政府网站的内容建设。负责旗政府蒙古文政务网站建设管理工作。负责上下级政府网络互联互通工作。负责推进、指导、协调、监督政务新媒体工作。</w:t>
      </w:r>
    </w:p>
    <w:p w14:paraId="49B2FDCF">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（5）负责旗本级政府信息公开和政务公开工作。指导、协调、监督各地区各部门开展政府信息公开和政务公开工作。</w:t>
      </w:r>
    </w:p>
    <w:p w14:paraId="1311C1D0">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指导全旗公共资源交易工作。制定全旗公共资源交易目录、管理制度和业务规范。推行公共资源交易电子监察工作。会同相关行业监管部门建设全旗公共资源交易主体信用信息库和信用评价体系，推进信用监管，对公共资源交易领域严重失信主体开展联合惩戒。</w:t>
      </w:r>
    </w:p>
    <w:p w14:paraId="2A919344">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指导全旗政府采购交易工作。贯彻执行政府采购交易相关的政策和法律法规。推行政府采购交易电子监察工作。会同相关行业监管部门建设全旗政府采购交易主体信用信息库和信用评价体系，推进信用监管，对政府采购交易领域严重失信主体开展联合惩戒。</w:t>
      </w:r>
    </w:p>
    <w:p w14:paraId="2ED7E8D1">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（8）指导、管理旗本级政务实体大厅运行工作。组织协调、监督管理政务服务事项的办理。负责组织开展政务服务质量评估工作。</w:t>
      </w:r>
    </w:p>
    <w:p w14:paraId="5E1947DC">
      <w:pPr>
        <w:keepNext w:val="0"/>
        <w:keepLines w:val="0"/>
        <w:pageBreakBefore w:val="0"/>
        <w:kinsoku/>
        <w:wordWrap/>
        <w:overflowPunct/>
        <w:topLinePunct w:val="0"/>
        <w:autoSpaceDE/>
        <w:autoSpaceDN/>
        <w:bidi w:val="0"/>
        <w:adjustRightInd/>
        <w:snapToGrid w:val="0"/>
        <w:spacing w:line="360" w:lineRule="auto"/>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（9）负责全旗政务服务、政务公开、电子政务、公共资源交易和集中采购代理工作的日常监管和年度考核工作。受理有关政务服务和政务公开的咨询、投诉、建议工作。</w:t>
      </w:r>
    </w:p>
    <w:p w14:paraId="214D0F53">
      <w:pPr>
        <w:keepNext w:val="0"/>
        <w:keepLines w:val="0"/>
        <w:pageBreakBefore w:val="0"/>
        <w:widowControl/>
        <w:kinsoku/>
        <w:wordWrap/>
        <w:overflowPunct/>
        <w:topLinePunct w:val="0"/>
        <w:autoSpaceDE/>
        <w:autoSpaceDN/>
        <w:bidi w:val="0"/>
        <w:adjustRightInd/>
        <w:spacing w:before="240" w:after="240" w:line="360" w:lineRule="auto"/>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（10）完成旗委、政府和上级业务部门交办的其他工作。</w:t>
      </w:r>
    </w:p>
    <w:p w14:paraId="41035BEC">
      <w:pPr>
        <w:widowControl/>
        <w:spacing w:before="240" w:after="240"/>
        <w:ind w:firstLine="643" w:firstLineChars="200"/>
        <w:jc w:val="left"/>
        <w:rPr>
          <w:rFonts w:ascii="Times New Roman" w:hAnsi="Times New Roman" w:eastAsia="Times New Roman" w:cs="Times New Roman"/>
          <w:kern w:val="0"/>
          <w:sz w:val="32"/>
          <w:szCs w:val="32"/>
        </w:rPr>
      </w:pPr>
      <w:r>
        <w:rPr>
          <w:rFonts w:ascii="黑体" w:hAnsi="黑体" w:eastAsia="黑体" w:cs="黑体"/>
          <w:b/>
          <w:bCs/>
          <w:kern w:val="0"/>
          <w:sz w:val="32"/>
          <w:szCs w:val="32"/>
        </w:rPr>
        <w:t xml:space="preserve"> 二、部门（单位）机构设置及决算单位构成情况</w:t>
      </w:r>
    </w:p>
    <w:p w14:paraId="363E9DC3">
      <w:pPr>
        <w:snapToGrid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1.从决算单位构成看，鄂温克族自治旗政务服务与数据管理局部门决算包括：局本级决算，鄂温克旗公共资源交易中心决算。</w:t>
      </w:r>
    </w:p>
    <w:p w14:paraId="1A96F9B0">
      <w:pPr>
        <w:numPr>
          <w:ilvl w:val="0"/>
          <w:numId w:val="1"/>
        </w:numPr>
        <w:snapToGrid w:val="0"/>
        <w:spacing w:line="52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局本级为独立预算单位，其中：财政拨款的行政单位1家。下设政务服务中心、公共资源交易中心</w:t>
      </w:r>
      <w:r>
        <w:rPr>
          <w:rFonts w:hint="eastAsia" w:ascii="仿宋_GB2312" w:hAnsi="仿宋_GB2312" w:eastAsia="仿宋_GB2312" w:cs="仿宋_GB2312"/>
          <w:sz w:val="32"/>
          <w:szCs w:val="32"/>
          <w:lang w:eastAsia="zh-CN"/>
        </w:rPr>
        <w:t>、大数据中心</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家公益一类事业单位，是独立编制单位，其中公共资源交易中心是独立预算单位，不在局本级统一进行决算管理。</w:t>
      </w:r>
    </w:p>
    <w:p w14:paraId="0EE51990">
      <w:pPr>
        <w:snapToGrid w:val="0"/>
        <w:spacing w:line="52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（2）政数局本级实有行政编制人员4人，退休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人。所属事业机构</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个，其中：政务服务中心实有事业编制人员8人；公共资源交易中心实有事业编制人员8人，退休人员3人</w:t>
      </w:r>
      <w:r>
        <w:rPr>
          <w:rFonts w:hint="eastAsia" w:ascii="仿宋_GB2312" w:hAnsi="仿宋_GB2312" w:eastAsia="仿宋_GB2312" w:cs="仿宋_GB2312"/>
          <w:sz w:val="32"/>
          <w:szCs w:val="32"/>
          <w:lang w:eastAsia="zh-CN"/>
        </w:rPr>
        <w:t>；大数据中心</w:t>
      </w:r>
      <w:r>
        <w:rPr>
          <w:rFonts w:hint="eastAsia" w:ascii="仿宋_GB2312" w:hAnsi="仿宋_GB2312" w:eastAsia="仿宋_GB2312" w:cs="仿宋_GB2312"/>
          <w:sz w:val="32"/>
          <w:szCs w:val="32"/>
        </w:rPr>
        <w:t>实有事业编制人员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w:t>
      </w:r>
    </w:p>
    <w:p w14:paraId="701B8758">
      <w:pPr>
        <w:spacing w:before="100" w:after="100" w:line="580" w:lineRule="atLeas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2.从决算单位构成看，纳入本部门202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年度部门汇总决算编制范围的预算单位共计</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sz w:val="32"/>
          <w:szCs w:val="32"/>
        </w:rPr>
        <w:t>家，详细情况见表：</w:t>
      </w:r>
    </w:p>
    <w:tbl>
      <w:tblPr>
        <w:tblStyle w:val="1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01"/>
        <w:gridCol w:w="7422"/>
      </w:tblGrid>
      <w:tr w14:paraId="02FC86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01" w:type="dxa"/>
            <w:tcBorders>
              <w:top w:val="single" w:color="auto" w:sz="6" w:space="0"/>
              <w:left w:val="single" w:color="auto" w:sz="6" w:space="0"/>
              <w:bottom w:val="single" w:color="auto" w:sz="6" w:space="0"/>
              <w:right w:val="single" w:color="auto" w:sz="6" w:space="0"/>
              <w:tl2br w:val="nil"/>
              <w:tr2bl w:val="nil"/>
            </w:tcBorders>
            <w:noWrap/>
          </w:tcPr>
          <w:p w14:paraId="7F55AC1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7422" w:type="dxa"/>
            <w:tcBorders>
              <w:top w:val="single" w:color="auto" w:sz="6" w:space="0"/>
              <w:left w:val="single" w:color="auto" w:sz="6" w:space="0"/>
              <w:bottom w:val="single" w:color="auto" w:sz="6" w:space="0"/>
              <w:right w:val="single" w:color="auto" w:sz="6" w:space="0"/>
              <w:tl2br w:val="nil"/>
              <w:tr2bl w:val="nil"/>
            </w:tcBorders>
            <w:noWrap/>
          </w:tcPr>
          <w:p w14:paraId="7AC252D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r>
      <w:tr w14:paraId="76C7A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01" w:type="dxa"/>
            <w:tcBorders>
              <w:top w:val="single" w:color="auto" w:sz="6" w:space="0"/>
              <w:left w:val="single" w:color="auto" w:sz="6" w:space="0"/>
              <w:bottom w:val="single" w:color="auto" w:sz="6" w:space="0"/>
              <w:right w:val="single" w:color="auto" w:sz="6" w:space="0"/>
              <w:tl2br w:val="nil"/>
              <w:tr2bl w:val="nil"/>
            </w:tcBorders>
            <w:noWrap/>
          </w:tcPr>
          <w:p w14:paraId="5E57E738">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7422" w:type="dxa"/>
            <w:tcBorders>
              <w:top w:val="single" w:color="auto" w:sz="6" w:space="0"/>
              <w:left w:val="single" w:color="auto" w:sz="6" w:space="0"/>
              <w:bottom w:val="single" w:color="auto" w:sz="6" w:space="0"/>
              <w:right w:val="single" w:color="auto" w:sz="6" w:space="0"/>
              <w:tl2br w:val="nil"/>
              <w:tr2bl w:val="nil"/>
            </w:tcBorders>
            <w:noWrap/>
          </w:tcPr>
          <w:p w14:paraId="174FEF3E">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鄂温克族自治旗政务服务</w:t>
            </w:r>
            <w:r>
              <w:rPr>
                <w:rFonts w:hint="eastAsia" w:ascii="仿宋_GB2312" w:hAnsi="仿宋_GB2312" w:eastAsia="仿宋_GB2312" w:cs="仿宋_GB2312"/>
                <w:color w:val="000000"/>
                <w:sz w:val="32"/>
                <w:szCs w:val="32"/>
                <w:lang w:val="en-US" w:eastAsia="zh-CN"/>
              </w:rPr>
              <w:t>与数据管理</w:t>
            </w:r>
            <w:r>
              <w:rPr>
                <w:rFonts w:hint="eastAsia" w:ascii="仿宋_GB2312" w:hAnsi="仿宋_GB2312" w:eastAsia="仿宋_GB2312" w:cs="仿宋_GB2312"/>
                <w:color w:val="000000"/>
                <w:sz w:val="32"/>
                <w:szCs w:val="32"/>
              </w:rPr>
              <w:t>局（本级）</w:t>
            </w:r>
          </w:p>
        </w:tc>
      </w:tr>
      <w:tr w14:paraId="4DB728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01" w:type="dxa"/>
            <w:tcBorders>
              <w:top w:val="single" w:color="auto" w:sz="6" w:space="0"/>
              <w:left w:val="single" w:color="auto" w:sz="6" w:space="0"/>
              <w:bottom w:val="single" w:color="auto" w:sz="6" w:space="0"/>
              <w:right w:val="single" w:color="auto" w:sz="6" w:space="0"/>
              <w:tl2br w:val="nil"/>
              <w:tr2bl w:val="nil"/>
            </w:tcBorders>
            <w:noWrap/>
          </w:tcPr>
          <w:p w14:paraId="30C547AC">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p>
        </w:tc>
        <w:tc>
          <w:tcPr>
            <w:tcW w:w="7422" w:type="dxa"/>
            <w:tcBorders>
              <w:top w:val="single" w:color="auto" w:sz="6" w:space="0"/>
              <w:left w:val="single" w:color="auto" w:sz="6" w:space="0"/>
              <w:bottom w:val="single" w:color="auto" w:sz="6" w:space="0"/>
              <w:right w:val="single" w:color="auto" w:sz="6" w:space="0"/>
              <w:tl2br w:val="nil"/>
              <w:tr2bl w:val="nil"/>
            </w:tcBorders>
            <w:noWrap/>
          </w:tcPr>
          <w:p w14:paraId="448751E0">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鄂温克族自治旗公共资源交易中心</w:t>
            </w:r>
          </w:p>
        </w:tc>
      </w:tr>
    </w:tbl>
    <w:p w14:paraId="6E063F1E">
      <w:pPr>
        <w:widowControl/>
        <w:spacing w:before="240" w:after="240"/>
        <w:ind w:firstLine="643" w:firstLineChars="200"/>
        <w:jc w:val="left"/>
        <w:rPr>
          <w:rFonts w:ascii="Times New Roman" w:hAnsi="Times New Roman" w:eastAsia="Times New Roman" w:cs="Times New Roman"/>
          <w:kern w:val="0"/>
          <w:sz w:val="32"/>
          <w:szCs w:val="32"/>
        </w:rPr>
      </w:pPr>
      <w:r>
        <w:rPr>
          <w:rFonts w:ascii="黑体" w:hAnsi="黑体" w:eastAsia="黑体" w:cs="黑体"/>
          <w:b/>
          <w:bCs/>
          <w:kern w:val="0"/>
          <w:sz w:val="32"/>
          <w:szCs w:val="32"/>
        </w:rPr>
        <w:t>三、2024年度部门（单位）主要工作完成情况</w:t>
      </w:r>
    </w:p>
    <w:p w14:paraId="34E78044">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 xml:space="preserve">    </w:t>
      </w:r>
    </w:p>
    <w:p w14:paraId="0E5BDB08">
      <w:pPr>
        <w:pStyle w:val="18"/>
        <w:widowControl/>
        <w:spacing w:before="0" w:beforeAutospacing="0" w:after="0" w:afterAutospacing="0" w:line="360" w:lineRule="auto"/>
        <w:ind w:firstLine="640" w:firstLineChars="200"/>
        <w:rPr>
          <w:rFonts w:hint="eastAsia" w:ascii="仿宋_GB2312" w:hAnsi="仿宋_GB2312" w:eastAsia="仿宋_GB2312" w:cs="仿宋_GB2312"/>
          <w:sz w:val="32"/>
          <w:szCs w:val="32"/>
        </w:rPr>
      </w:pPr>
      <w:r>
        <w:rPr>
          <w:rFonts w:ascii="仿宋_GB2312" w:hAnsi="仿宋_GB2312" w:eastAsia="仿宋_GB2312" w:cs="仿宋_GB2312"/>
          <w:color w:val="0E00FE"/>
          <w:kern w:val="0"/>
          <w:sz w:val="32"/>
          <w:szCs w:val="32"/>
        </w:rPr>
        <w:t>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在旗委、旗政府的正确领导下，在市政数局的精心指导下，局领导班子坚持“为民务实、廉洁高效”的服务宗旨，全面贯彻党的十九大和二十大精神，认真执行上级党委、政府的各项决策部署，紧紧围绕旗委、旗政府中心工作，立足岗位职责，团结带领局机</w:t>
      </w:r>
      <w:r>
        <w:rPr>
          <w:rFonts w:hint="eastAsia" w:ascii="仿宋_GB2312" w:hAnsi="仿宋_GB2312" w:eastAsia="仿宋_GB2312" w:cs="仿宋_GB2312"/>
          <w:sz w:val="32"/>
          <w:szCs w:val="32"/>
          <w:u w:val="none"/>
        </w:rPr>
        <w:t>关干部职工，强基础、重实绩、抓落实，全面加强班子自身建设，较</w:t>
      </w:r>
      <w:r>
        <w:rPr>
          <w:rFonts w:hint="eastAsia" w:ascii="仿宋_GB2312" w:hAnsi="仿宋_GB2312" w:eastAsia="仿宋_GB2312" w:cs="仿宋_GB2312"/>
          <w:sz w:val="32"/>
          <w:szCs w:val="32"/>
        </w:rPr>
        <w:t>好的完成了各项工作任务。</w:t>
      </w:r>
    </w:p>
    <w:p w14:paraId="60597EA5">
      <w:pPr>
        <w:pStyle w:val="18"/>
        <w:widowControl/>
        <w:spacing w:before="0" w:beforeAutospacing="0" w:after="0" w:afterAutospacing="0"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1.“放管服”改革，系统打造便捷高效的政务环境</w:t>
      </w:r>
    </w:p>
    <w:p w14:paraId="78E4FEE5">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2.提升线下服务能力，推进政务服务规范化。</w:t>
      </w:r>
    </w:p>
    <w:p w14:paraId="6145A759">
      <w:pPr>
        <w:pStyle w:val="18"/>
        <w:widowControl/>
        <w:spacing w:before="0" w:beforeAutospacing="0" w:after="0" w:afterAutospacing="0" w:line="360" w:lineRule="auto"/>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3.合理配置资源，推进政务服务便利化。</w:t>
      </w:r>
    </w:p>
    <w:p w14:paraId="73530FF7">
      <w:pPr>
        <w:widowControl/>
        <w:spacing w:before="240" w:after="240"/>
        <w:jc w:val="left"/>
        <w:rPr>
          <w:rFonts w:ascii="Times New Roman" w:hAnsi="Times New Roman" w:eastAsia="Times New Roman" w:cs="Times New Roman"/>
          <w:kern w:val="0"/>
          <w:sz w:val="32"/>
          <w:szCs w:val="32"/>
        </w:rPr>
      </w:pPr>
    </w:p>
    <w:p w14:paraId="19BB11F3">
      <w:pPr>
        <w:pStyle w:val="3"/>
        <w:keepNext w:val="0"/>
        <w:keepLines w:val="0"/>
        <w:widowControl/>
        <w:spacing w:before="299" w:after="299" w:line="240" w:lineRule="auto"/>
        <w:jc w:val="center"/>
        <w:rPr>
          <w:rFonts w:ascii="Times New Roman" w:hAnsi="Times New Roman" w:eastAsia="Times New Roman" w:cs="Times New Roman"/>
          <w:b/>
          <w:bCs/>
          <w:kern w:val="0"/>
          <w:sz w:val="32"/>
          <w:szCs w:val="32"/>
        </w:rPr>
      </w:pPr>
      <w:r>
        <w:rPr>
          <w:rFonts w:ascii="fang_zheng_xiao_biao_song_ti" w:hAnsi="fang_zheng_xiao_biao_song_ti" w:eastAsia="fang_zheng_xiao_biao_song_ti" w:cs="fang_zheng_xiao_biao_song_ti"/>
          <w:b/>
          <w:bCs/>
          <w:kern w:val="0"/>
          <w:sz w:val="32"/>
          <w:szCs w:val="32"/>
        </w:rPr>
        <w:t>第二部分 部门（单位）决算情况说明</w:t>
      </w:r>
    </w:p>
    <w:p w14:paraId="45EBD2AD">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一、收入支出决算总体情况说明</w:t>
      </w:r>
    </w:p>
    <w:p w14:paraId="4FFDF8B2">
      <w:pPr>
        <w:widowControl/>
        <w:spacing w:before="240" w:after="240"/>
        <w:jc w:val="left"/>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E00FE"/>
          <w:kern w:val="0"/>
          <w:sz w:val="32"/>
          <w:szCs w:val="32"/>
        </w:rPr>
        <w:t>   </w:t>
      </w:r>
      <w:r>
        <w:rPr>
          <w:rFonts w:hint="eastAsia" w:ascii="仿宋_GB2312" w:hAnsi="仿宋_GB2312" w:eastAsia="仿宋_GB2312" w:cs="仿宋_GB2312"/>
          <w:color w:val="000000"/>
          <w:kern w:val="0"/>
          <w:sz w:val="32"/>
          <w:szCs w:val="32"/>
          <w:u w:val="none" w:color="auto"/>
        </w:rPr>
        <w:t> 鄂温克族自治旗政务服务与数据管理局部门 2024年度收入、支出决算总计均为 905.29万元。与年初预算相比，收、支总计各增加202.64万元，增长28.84%，变动原因：</w:t>
      </w:r>
      <w:r>
        <w:rPr>
          <w:rFonts w:hint="eastAsia" w:ascii="仿宋_GB2312" w:hAnsi="仿宋_GB2312" w:eastAsia="仿宋_GB2312" w:cs="仿宋_GB2312"/>
          <w:color w:val="000000"/>
          <w:kern w:val="0"/>
          <w:sz w:val="32"/>
          <w:szCs w:val="32"/>
          <w:u w:val="none" w:color="auto"/>
          <w:lang w:eastAsia="zh-CN"/>
        </w:rPr>
        <w:t>本年度增加</w:t>
      </w:r>
      <w:r>
        <w:rPr>
          <w:rFonts w:hint="eastAsia" w:ascii="仿宋_GB2312" w:hAnsi="仿宋_GB2312" w:eastAsia="仿宋_GB2312" w:cs="仿宋_GB2312"/>
          <w:color w:val="000000"/>
          <w:kern w:val="0"/>
          <w:sz w:val="32"/>
          <w:szCs w:val="32"/>
          <w:u w:val="none" w:color="auto"/>
          <w:lang w:val="en-US" w:eastAsia="zh-CN"/>
        </w:rPr>
        <w:t>3名事业编制人员，1名公务员，2024年工资社保普调，本年度追加政务服务中心税务专区改造费预算，公共资源交易中心追加业务经费预算</w:t>
      </w:r>
      <w:r>
        <w:rPr>
          <w:rFonts w:hint="eastAsia" w:ascii="仿宋_GB2312" w:hAnsi="仿宋_GB2312" w:eastAsia="仿宋_GB2312" w:cs="仿宋_GB2312"/>
          <w:color w:val="000000"/>
          <w:kern w:val="0"/>
          <w:sz w:val="32"/>
          <w:szCs w:val="32"/>
          <w:u w:val="none" w:color="auto"/>
        </w:rPr>
        <w:t>；与上年决算相比，收、支总计各增加241.16万元，增长36.31%。其中：</w:t>
      </w:r>
    </w:p>
    <w:p w14:paraId="7C5606D6">
      <w:pPr>
        <w:widowControl/>
        <w:spacing w:before="240" w:after="240"/>
        <w:jc w:val="left"/>
        <w:rPr>
          <w:rFonts w:hint="eastAsia" w:ascii="仿宋_GB2312" w:hAnsi="仿宋_GB2312" w:eastAsia="仿宋_GB2312" w:cs="仿宋_GB2312"/>
          <w:kern w:val="0"/>
          <w:sz w:val="32"/>
          <w:szCs w:val="32"/>
          <w:u w:val="none" w:color="auto"/>
        </w:rPr>
      </w:pPr>
      <w:r>
        <w:rPr>
          <w:rFonts w:ascii="kai_ti_gb2312" w:hAnsi="kai_ti_gb2312" w:eastAsia="kai_ti_gb2312" w:cs="kai_ti_gb2312"/>
          <w:b/>
          <w:bCs/>
          <w:color w:val="000000"/>
          <w:kern w:val="0"/>
          <w:sz w:val="32"/>
          <w:szCs w:val="32"/>
        </w:rPr>
        <w:t xml:space="preserve">    </w:t>
      </w:r>
      <w:r>
        <w:rPr>
          <w:rFonts w:hint="eastAsia" w:ascii="仿宋_GB2312" w:hAnsi="仿宋_GB2312" w:eastAsia="仿宋_GB2312" w:cs="仿宋_GB2312"/>
          <w:b/>
          <w:bCs/>
          <w:color w:val="000000"/>
          <w:kern w:val="0"/>
          <w:sz w:val="32"/>
          <w:szCs w:val="32"/>
          <w:u w:val="none" w:color="auto"/>
        </w:rPr>
        <w:t>（一）收入决算总计 905.29万元。包括：</w:t>
      </w:r>
    </w:p>
    <w:p w14:paraId="198032F0">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xml:space="preserve">  </w:t>
      </w: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u w:val="none" w:color="auto"/>
        </w:rPr>
        <w:t xml:space="preserve"> 1.本年收入决算合计 904.87万元。与上年决算相比，增加 242.10万元，增长 36.53%，变动原因：</w:t>
      </w:r>
      <w:r>
        <w:rPr>
          <w:rFonts w:hint="eastAsia" w:ascii="仿宋_GB2312" w:hAnsi="仿宋_GB2312" w:eastAsia="仿宋_GB2312" w:cs="仿宋_GB2312"/>
          <w:color w:val="000000"/>
          <w:kern w:val="0"/>
          <w:sz w:val="32"/>
          <w:szCs w:val="32"/>
          <w:u w:val="none" w:color="auto"/>
          <w:lang w:val="en-US" w:eastAsia="zh-CN"/>
        </w:rPr>
        <w:t>本年度新增3名事业编制人员，工资社保增加；政务服务中心税务专区改造费增加；公共资源交易中心追加专家评标室改造费</w:t>
      </w:r>
      <w:r>
        <w:rPr>
          <w:rFonts w:hint="eastAsia" w:ascii="仿宋_GB2312" w:hAnsi="仿宋_GB2312" w:eastAsia="仿宋_GB2312" w:cs="仿宋_GB2312"/>
          <w:color w:val="000000"/>
          <w:kern w:val="0"/>
          <w:sz w:val="32"/>
          <w:szCs w:val="32"/>
          <w:u w:val="none" w:color="auto"/>
        </w:rPr>
        <w:t>。</w:t>
      </w:r>
    </w:p>
    <w:p w14:paraId="6009454F">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2.使用非财政拨款结余（含专用结余） 0万元。与上年决算相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rPr>
        <w:t>，</w:t>
      </w:r>
      <w:r>
        <w:rPr>
          <w:rFonts w:hint="eastAsia" w:ascii="仿宋_GB2312" w:hAnsi="仿宋_GB2312" w:eastAsia="仿宋_GB2312" w:cs="仿宋_GB2312"/>
          <w:color w:val="000000"/>
          <w:kern w:val="0"/>
          <w:sz w:val="32"/>
          <w:szCs w:val="32"/>
          <w:u w:val="none" w:color="auto"/>
          <w:lang w:val="en-US" w:eastAsia="zh-CN"/>
        </w:rPr>
        <w:t>不存在此项内容</w:t>
      </w:r>
      <w:r>
        <w:rPr>
          <w:rFonts w:hint="eastAsia" w:ascii="仿宋_GB2312" w:hAnsi="仿宋_GB2312" w:eastAsia="仿宋_GB2312" w:cs="仿宋_GB2312"/>
          <w:color w:val="000000"/>
          <w:kern w:val="0"/>
          <w:sz w:val="32"/>
          <w:szCs w:val="32"/>
          <w:u w:val="none" w:color="auto"/>
        </w:rPr>
        <w:t>。</w:t>
      </w:r>
    </w:p>
    <w:p w14:paraId="778C3EDE">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3.年初结转和结余 0.42万元。与上年决算相比，减少 0.94万元，下降69.03%，变动原因：</w:t>
      </w:r>
      <w:r>
        <w:rPr>
          <w:rFonts w:hint="eastAsia" w:ascii="仿宋_GB2312" w:hAnsi="仿宋_GB2312" w:eastAsia="仿宋_GB2312" w:cs="仿宋_GB2312"/>
          <w:color w:val="000000"/>
          <w:kern w:val="0"/>
          <w:sz w:val="32"/>
          <w:szCs w:val="32"/>
          <w:u w:val="none" w:color="auto"/>
          <w:lang w:val="en-US" w:eastAsia="zh-CN"/>
        </w:rPr>
        <w:t>本年度上缴社保资金</w:t>
      </w:r>
      <w:r>
        <w:rPr>
          <w:rFonts w:hint="eastAsia" w:ascii="仿宋_GB2312" w:hAnsi="仿宋_GB2312" w:eastAsia="仿宋_GB2312" w:cs="仿宋_GB2312"/>
          <w:color w:val="000000"/>
          <w:kern w:val="0"/>
          <w:sz w:val="32"/>
          <w:szCs w:val="32"/>
          <w:u w:val="none" w:color="auto"/>
        </w:rPr>
        <w:t>。</w:t>
      </w:r>
    </w:p>
    <w:p w14:paraId="68A98B18">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b/>
          <w:bCs/>
          <w:color w:val="000000"/>
          <w:kern w:val="0"/>
          <w:sz w:val="32"/>
          <w:szCs w:val="32"/>
          <w:u w:val="none" w:color="auto"/>
        </w:rPr>
        <w:t>    （二）支出决算总计 905.29万元。包括：</w:t>
      </w:r>
    </w:p>
    <w:p w14:paraId="2421F0A0">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u w:val="none" w:color="auto"/>
        </w:rPr>
        <w:t xml:space="preserve"> 1.本年支出决算合计 903.38万元。与上年决算相比，增加 239.74万元，增长 36.13%，变动原因：</w:t>
      </w:r>
      <w:r>
        <w:rPr>
          <w:rFonts w:hint="eastAsia" w:ascii="仿宋_GB2312" w:hAnsi="仿宋_GB2312" w:eastAsia="仿宋_GB2312" w:cs="仿宋_GB2312"/>
          <w:color w:val="000000"/>
          <w:kern w:val="0"/>
          <w:sz w:val="32"/>
          <w:szCs w:val="32"/>
          <w:u w:val="none" w:color="auto"/>
          <w:lang w:val="en-US" w:eastAsia="zh-CN"/>
        </w:rPr>
        <w:t>本年度新增3名事业编制人员，工资社保增加；政务服务中心税务专区改造费增加；公共资源交易中心追加专家评标室改造费</w:t>
      </w:r>
      <w:r>
        <w:rPr>
          <w:rFonts w:hint="eastAsia" w:ascii="仿宋_GB2312" w:hAnsi="仿宋_GB2312" w:eastAsia="仿宋_GB2312" w:cs="仿宋_GB2312"/>
          <w:color w:val="000000"/>
          <w:kern w:val="0"/>
          <w:sz w:val="32"/>
          <w:szCs w:val="32"/>
          <w:u w:val="none" w:color="auto"/>
        </w:rPr>
        <w:t>。</w:t>
      </w:r>
    </w:p>
    <w:p w14:paraId="71FF6333">
      <w:pPr>
        <w:widowControl/>
        <w:spacing w:before="240" w:after="240"/>
        <w:rPr>
          <w:rFonts w:hint="eastAsia" w:ascii="仿宋_GB2312" w:hAnsi="仿宋_GB2312" w:eastAsia="仿宋_GB2312" w:cs="仿宋_GB2312"/>
          <w:kern w:val="0"/>
          <w:sz w:val="32"/>
          <w:szCs w:val="32"/>
          <w:u w:val="none" w:color="auto"/>
          <w:lang w:eastAsia="zh-CN"/>
        </w:rPr>
      </w:pPr>
      <w:r>
        <w:rPr>
          <w:rFonts w:hint="eastAsia" w:ascii="仿宋_GB2312" w:hAnsi="仿宋_GB2312" w:eastAsia="仿宋_GB2312" w:cs="仿宋_GB2312"/>
          <w:color w:val="000000"/>
          <w:kern w:val="0"/>
          <w:sz w:val="32"/>
          <w:szCs w:val="32"/>
          <w:u w:val="none" w:color="auto"/>
        </w:rPr>
        <w:t>    2.结余分配 0万元。结余分配事项：</w:t>
      </w:r>
      <w:r>
        <w:rPr>
          <w:rFonts w:hint="eastAsia" w:ascii="仿宋_GB2312" w:hAnsi="仿宋_GB2312" w:eastAsia="仿宋_GB2312" w:cs="仿宋_GB2312"/>
          <w:color w:val="000000"/>
          <w:kern w:val="0"/>
          <w:sz w:val="32"/>
          <w:szCs w:val="32"/>
          <w:u w:val="none" w:color="auto"/>
          <w:lang w:val="en-US" w:eastAsia="zh-CN"/>
        </w:rPr>
        <w:t>不存在此项内容</w:t>
      </w:r>
      <w:r>
        <w:rPr>
          <w:rFonts w:hint="eastAsia" w:ascii="仿宋_GB2312" w:hAnsi="仿宋_GB2312" w:eastAsia="仿宋_GB2312" w:cs="仿宋_GB2312"/>
          <w:color w:val="000000"/>
          <w:kern w:val="0"/>
          <w:sz w:val="32"/>
          <w:szCs w:val="32"/>
          <w:u w:val="none" w:color="auto"/>
        </w:rPr>
        <w:t>。与上年决算相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lang w:eastAsia="zh-CN"/>
        </w:rPr>
        <w:t>。</w:t>
      </w:r>
    </w:p>
    <w:p w14:paraId="593ED12C">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3.年末结转和结余 1.91万元。结转和结余事项：</w:t>
      </w:r>
      <w:r>
        <w:rPr>
          <w:rFonts w:hint="eastAsia" w:ascii="仿宋_GB2312" w:hAnsi="仿宋_GB2312" w:eastAsia="仿宋_GB2312" w:cs="仿宋_GB2312"/>
          <w:color w:val="000000"/>
          <w:kern w:val="0"/>
          <w:sz w:val="32"/>
          <w:szCs w:val="32"/>
          <w:u w:val="none" w:color="auto"/>
          <w:lang w:val="en-US" w:eastAsia="zh-CN"/>
        </w:rPr>
        <w:t>应缴财政款</w:t>
      </w:r>
      <w:r>
        <w:rPr>
          <w:rFonts w:hint="eastAsia" w:ascii="仿宋_GB2312" w:hAnsi="仿宋_GB2312" w:eastAsia="仿宋_GB2312" w:cs="仿宋_GB2312"/>
          <w:color w:val="000000"/>
          <w:kern w:val="0"/>
          <w:sz w:val="32"/>
          <w:szCs w:val="32"/>
          <w:u w:val="none" w:color="auto"/>
        </w:rPr>
        <w:t>。与上年决算相比，增加 1.42万元，增长 288.65%，变动原因：</w:t>
      </w:r>
      <w:r>
        <w:rPr>
          <w:rFonts w:hint="eastAsia" w:ascii="仿宋_GB2312" w:hAnsi="仿宋_GB2312" w:eastAsia="仿宋_GB2312" w:cs="仿宋_GB2312"/>
          <w:color w:val="000000"/>
          <w:kern w:val="0"/>
          <w:sz w:val="32"/>
          <w:szCs w:val="32"/>
          <w:u w:val="none" w:color="auto"/>
          <w:lang w:val="en-US" w:eastAsia="zh-CN"/>
        </w:rPr>
        <w:t>应缴财政款于下年度初上缴</w:t>
      </w:r>
      <w:r>
        <w:rPr>
          <w:rFonts w:hint="eastAsia" w:ascii="仿宋_GB2312" w:hAnsi="仿宋_GB2312" w:eastAsia="仿宋_GB2312" w:cs="仿宋_GB2312"/>
          <w:color w:val="000000"/>
          <w:kern w:val="0"/>
          <w:sz w:val="32"/>
          <w:szCs w:val="32"/>
          <w:u w:val="none" w:color="auto"/>
        </w:rPr>
        <w:t>。</w:t>
      </w:r>
    </w:p>
    <w:p w14:paraId="18E0C9B7">
      <w:pPr>
        <w:widowControl/>
        <w:spacing w:before="240" w:after="240"/>
        <w:rPr>
          <w:rFonts w:ascii="Times New Roman" w:hAnsi="Times New Roman" w:eastAsia="Times New Roman" w:cs="Times New Roman"/>
          <w:kern w:val="0"/>
          <w:sz w:val="32"/>
          <w:szCs w:val="32"/>
        </w:rPr>
      </w:pPr>
      <w:r>
        <w:rPr>
          <w:rFonts w:ascii="仿宋_GB2312" w:hAnsi="仿宋_GB2312" w:eastAsia="仿宋_GB2312" w:cs="仿宋_GB2312"/>
          <w:color w:val="0E00FE"/>
          <w:kern w:val="0"/>
          <w:sz w:val="32"/>
          <w:szCs w:val="32"/>
        </w:rPr>
        <w:t>   </w:t>
      </w:r>
      <w:r>
        <w:rPr>
          <w:rFonts w:hint="eastAsia" w:ascii="仿宋_GB2312" w:hAnsi="仿宋_GB2312" w:eastAsia="仿宋_GB2312" w:cs="仿宋_GB2312"/>
          <w:color w:val="0E00FE"/>
          <w:kern w:val="0"/>
          <w:sz w:val="32"/>
          <w:szCs w:val="32"/>
          <w:lang w:val="en-US" w:eastAsia="zh-CN"/>
        </w:rPr>
        <w:t xml:space="preserve"> </w:t>
      </w:r>
      <w:r>
        <w:rPr>
          <w:rFonts w:ascii="黑体" w:hAnsi="黑体" w:eastAsia="黑体" w:cs="黑体"/>
          <w:b/>
          <w:bCs/>
          <w:kern w:val="0"/>
          <w:sz w:val="32"/>
          <w:szCs w:val="32"/>
        </w:rPr>
        <w:t xml:space="preserve"> </w:t>
      </w:r>
      <w:r>
        <w:rPr>
          <w:rFonts w:ascii="黑体" w:hAnsi="黑体" w:eastAsia="黑体" w:cs="黑体"/>
          <w:b/>
          <w:bCs/>
          <w:kern w:val="0"/>
          <w:sz w:val="32"/>
          <w:szCs w:val="32"/>
        </w:rPr>
        <w:t>二、收入决算情况说明</w:t>
      </w:r>
    </w:p>
    <w:p w14:paraId="0D485630">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E00FE"/>
          <w:kern w:val="0"/>
          <w:sz w:val="32"/>
          <w:szCs w:val="32"/>
        </w:rPr>
        <w:t xml:space="preserve">  </w:t>
      </w:r>
      <w:r>
        <w:rPr>
          <w:rFonts w:hint="eastAsia" w:ascii="仿宋_GB2312" w:hAnsi="仿宋_GB2312" w:eastAsia="仿宋_GB2312" w:cs="仿宋_GB2312"/>
          <w:color w:val="0E00FE"/>
          <w:kern w:val="0"/>
          <w:sz w:val="32"/>
          <w:szCs w:val="32"/>
          <w:lang w:val="en-US" w:eastAsia="zh-CN"/>
        </w:rPr>
        <w:t xml:space="preserve"> </w:t>
      </w:r>
      <w:r>
        <w:rPr>
          <w:rFonts w:hint="eastAsia" w:ascii="仿宋_GB2312" w:hAnsi="仿宋_GB2312" w:eastAsia="仿宋_GB2312" w:cs="仿宋_GB2312"/>
          <w:color w:val="0E00FE"/>
          <w:kern w:val="0"/>
          <w:sz w:val="32"/>
          <w:szCs w:val="32"/>
          <w:u w:val="none" w:color="auto"/>
          <w:lang w:val="en-US" w:eastAsia="zh-CN"/>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2024年度本年收入决算合计 904.87万元，其中：</w:t>
      </w:r>
    </w:p>
    <w:p w14:paraId="1A69F281">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本年一般公共预算财政拨款收入 904.87万元，占 100.00%；</w:t>
      </w:r>
    </w:p>
    <w:p w14:paraId="0A106238">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本年政府性基金预算财政拨款收入 0万元，占 0%；</w:t>
      </w:r>
    </w:p>
    <w:p w14:paraId="61729B35">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本年国有资本经营预算财政拨款收入 0万元，占 0%；</w:t>
      </w:r>
    </w:p>
    <w:p w14:paraId="3EB326CA">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本年上级补助收入 0万元，占 0%；</w:t>
      </w:r>
    </w:p>
    <w:p w14:paraId="5ED26A12">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本年事业收入 0万元，占 0%；</w:t>
      </w:r>
    </w:p>
    <w:p w14:paraId="40C6DD44">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本年经营收入 0万元，占 0%；</w:t>
      </w:r>
    </w:p>
    <w:p w14:paraId="56F3E29C">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本年附属单位上缴收入 0万元，占 0%；</w:t>
      </w:r>
    </w:p>
    <w:p w14:paraId="7EB4FAEF">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本年其他收入 0万元，占 0%。</w:t>
      </w:r>
    </w:p>
    <w:p w14:paraId="1AA38E3E">
      <w:pPr>
        <w:widowControl/>
        <w:spacing w:before="240" w:after="240"/>
        <w:rPr>
          <w:rFonts w:hint="eastAsia" w:ascii="仿宋_GB2312" w:hAnsi="仿宋_GB2312" w:eastAsia="仿宋_GB2312" w:cs="仿宋_GB2312"/>
          <w:kern w:val="0"/>
          <w:sz w:val="32"/>
          <w:szCs w:val="32"/>
        </w:rPr>
      </w:pPr>
    </w:p>
    <w:p w14:paraId="3AD8CA10">
      <w:pPr>
        <w:widowControl/>
        <w:spacing w:before="240" w:after="240"/>
        <w:jc w:val="center"/>
        <w:rPr>
          <w:rFonts w:ascii="Times New Roman" w:hAnsi="Times New Roman" w:eastAsia="Times New Roman" w:cs="Times New Roman"/>
          <w:kern w:val="0"/>
          <w:sz w:val="32"/>
          <w:szCs w:val="32"/>
        </w:rPr>
      </w:pPr>
      <w:r>
        <w:rPr>
          <w:rFonts w:ascii="Times New Roman" w:hAnsi="Times New Roman" w:eastAsia="Times New Roman" w:cs="Times New Roman"/>
          <w:strike w:val="0"/>
          <w:kern w:val="0"/>
          <w:sz w:val="32"/>
          <w:szCs w:val="32"/>
          <w:u w:val="none"/>
        </w:rPr>
        <w:drawing>
          <wp:inline distT="0" distB="0" distL="114300" distR="114300">
            <wp:extent cx="3087370" cy="1929765"/>
            <wp:effectExtent l="0" t="0" r="6350" b="571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3087370" cy="1929765"/>
                    </a:xfrm>
                    <a:prstGeom prst="rect">
                      <a:avLst/>
                    </a:prstGeom>
                    <a:noFill/>
                    <a:ln>
                      <a:noFill/>
                    </a:ln>
                  </pic:spPr>
                </pic:pic>
              </a:graphicData>
            </a:graphic>
          </wp:inline>
        </w:drawing>
      </w:r>
      <w:r>
        <w:rPr>
          <w:rFonts w:ascii="Times New Roman" w:hAnsi="Times New Roman" w:eastAsia="Times New Roman" w:cs="Times New Roman"/>
          <w:kern w:val="0"/>
          <w:sz w:val="32"/>
          <w:szCs w:val="32"/>
        </w:rPr>
        <w:t xml:space="preserve">  </w:t>
      </w:r>
    </w:p>
    <w:p w14:paraId="5193531F">
      <w:pPr>
        <w:widowControl/>
        <w:spacing w:before="240" w:after="240"/>
        <w:jc w:val="center"/>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图</w:t>
      </w:r>
      <w:r>
        <w:rPr>
          <w:rFonts w:ascii="times_new_roman" w:hAnsi="times_new_roman" w:eastAsia="times_new_roman" w:cs="times_new_roman"/>
          <w:kern w:val="0"/>
          <w:sz w:val="32"/>
          <w:szCs w:val="32"/>
        </w:rPr>
        <w:t>1</w:t>
      </w:r>
      <w:r>
        <w:rPr>
          <w:rFonts w:ascii="仿宋_GB2312" w:hAnsi="仿宋_GB2312" w:eastAsia="仿宋_GB2312" w:cs="仿宋_GB2312"/>
          <w:kern w:val="0"/>
          <w:sz w:val="32"/>
          <w:szCs w:val="32"/>
        </w:rPr>
        <w:t>.收入决算图</w:t>
      </w:r>
    </w:p>
    <w:p w14:paraId="590F74DE">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三、支出决算情况说明</w:t>
      </w:r>
    </w:p>
    <w:p w14:paraId="475120D6">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E00FE"/>
          <w:kern w:val="0"/>
          <w:sz w:val="32"/>
          <w:szCs w:val="32"/>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2024年度本年支出决算合计 903.38万元，其中：</w:t>
      </w:r>
    </w:p>
    <w:p w14:paraId="1FE77D5A">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本年基本支出 903.38万元，占 100.00%；</w:t>
      </w:r>
    </w:p>
    <w:p w14:paraId="06196273">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本年项目支出 0万元，占 0%；</w:t>
      </w:r>
    </w:p>
    <w:p w14:paraId="7013CC3A">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本年上缴上级支出 0万元，占 0%；</w:t>
      </w:r>
    </w:p>
    <w:p w14:paraId="5CE14FBF">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本年经营支出 0万元，占 0%；</w:t>
      </w:r>
    </w:p>
    <w:p w14:paraId="6C2C80B5">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本年对附属单位补助支出 0万元，占 0%。</w:t>
      </w:r>
    </w:p>
    <w:p w14:paraId="7EDF1BF8">
      <w:pPr>
        <w:widowControl/>
        <w:spacing w:before="240" w:after="240"/>
        <w:rPr>
          <w:rFonts w:ascii="Times New Roman" w:hAnsi="Times New Roman" w:eastAsia="Times New Roman" w:cs="Times New Roman"/>
          <w:kern w:val="0"/>
          <w:sz w:val="32"/>
          <w:szCs w:val="32"/>
        </w:rPr>
      </w:pPr>
      <w:r>
        <w:rPr>
          <w:rFonts w:ascii="仿宋_GB2312" w:hAnsi="仿宋_GB2312" w:eastAsia="仿宋_GB2312" w:cs="仿宋_GB2312"/>
          <w:color w:val="0E00FE"/>
          <w:kern w:val="0"/>
          <w:sz w:val="32"/>
          <w:szCs w:val="32"/>
        </w:rPr>
        <w:t xml:space="preserve">    </w:t>
      </w:r>
    </w:p>
    <w:p w14:paraId="1C7F0F8E">
      <w:pPr>
        <w:widowControl/>
        <w:spacing w:before="240" w:after="240"/>
        <w:jc w:val="center"/>
        <w:rPr>
          <w:rFonts w:ascii="Times New Roman" w:hAnsi="Times New Roman" w:eastAsia="Times New Roman" w:cs="Times New Roman"/>
          <w:kern w:val="0"/>
          <w:sz w:val="32"/>
          <w:szCs w:val="32"/>
        </w:rPr>
      </w:pPr>
      <w:r>
        <w:rPr>
          <w:rFonts w:ascii="Times New Roman" w:hAnsi="Times New Roman" w:eastAsia="Times New Roman" w:cs="Times New Roman"/>
          <w:strike w:val="0"/>
          <w:kern w:val="0"/>
          <w:sz w:val="32"/>
          <w:szCs w:val="32"/>
          <w:u w:val="none"/>
        </w:rPr>
        <w:drawing>
          <wp:inline distT="0" distB="0" distL="114300" distR="114300">
            <wp:extent cx="4392295" cy="2745105"/>
            <wp:effectExtent l="0" t="0" r="12065" b="133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4392295" cy="2745105"/>
                    </a:xfrm>
                    <a:prstGeom prst="rect">
                      <a:avLst/>
                    </a:prstGeom>
                    <a:noFill/>
                    <a:ln>
                      <a:noFill/>
                    </a:ln>
                  </pic:spPr>
                </pic:pic>
              </a:graphicData>
            </a:graphic>
          </wp:inline>
        </w:drawing>
      </w:r>
      <w:r>
        <w:rPr>
          <w:rFonts w:ascii="Times New Roman" w:hAnsi="Times New Roman" w:eastAsia="Times New Roman" w:cs="Times New Roman"/>
          <w:kern w:val="0"/>
          <w:sz w:val="32"/>
          <w:szCs w:val="32"/>
        </w:rPr>
        <w:t xml:space="preserve">  </w:t>
      </w:r>
    </w:p>
    <w:p w14:paraId="6E64876D">
      <w:pPr>
        <w:widowControl/>
        <w:spacing w:before="240" w:after="240"/>
        <w:jc w:val="center"/>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图2.支出决算图</w:t>
      </w:r>
    </w:p>
    <w:p w14:paraId="04CF7141">
      <w:pPr>
        <w:widowControl/>
        <w:spacing w:before="240" w:after="240"/>
        <w:jc w:val="left"/>
        <w:rPr>
          <w:rFonts w:ascii="Times New Roman" w:hAnsi="Times New Roman" w:eastAsia="Times New Roman" w:cs="Times New Roman"/>
          <w:kern w:val="0"/>
          <w:sz w:val="32"/>
          <w:szCs w:val="32"/>
        </w:rPr>
      </w:pPr>
    </w:p>
    <w:p w14:paraId="28698409">
      <w:pPr>
        <w:widowControl/>
        <w:spacing w:before="240" w:after="240"/>
        <w:jc w:val="left"/>
        <w:rPr>
          <w:rFonts w:hint="eastAsia" w:ascii="仿宋_GB2312" w:hAnsi="仿宋_GB2312" w:eastAsia="仿宋_GB2312" w:cs="仿宋_GB2312"/>
          <w:kern w:val="0"/>
          <w:sz w:val="32"/>
          <w:szCs w:val="32"/>
          <w:u w:val="none" w:color="auto"/>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仿宋_GB2312" w:hAnsi="仿宋_GB2312" w:eastAsia="仿宋_GB2312" w:cs="仿宋_GB2312"/>
          <w:b/>
          <w:bCs/>
          <w:kern w:val="0"/>
          <w:sz w:val="32"/>
          <w:szCs w:val="32"/>
          <w:u w:val="none" w:color="auto"/>
        </w:rPr>
        <w:t>四、财政拨款收入支出决算总体情况说明</w:t>
      </w:r>
    </w:p>
    <w:p w14:paraId="4EBD296F">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E00FE"/>
          <w:kern w:val="0"/>
          <w:sz w:val="32"/>
          <w:szCs w:val="32"/>
          <w:u w:val="none" w:color="auto"/>
        </w:rPr>
        <w:t xml:space="preserve">  </w:t>
      </w:r>
      <w:r>
        <w:rPr>
          <w:rFonts w:hint="eastAsia" w:ascii="仿宋_GB2312" w:hAnsi="仿宋_GB2312" w:eastAsia="仿宋_GB2312" w:cs="仿宋_GB2312"/>
          <w:color w:val="0E00FE"/>
          <w:kern w:val="0"/>
          <w:sz w:val="32"/>
          <w:szCs w:val="32"/>
          <w:u w:val="none" w:color="auto"/>
          <w:lang w:val="en-US" w:eastAsia="zh-CN"/>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2024年度财政拨款收入、支出决算总计均为 905.29万元，与年初预算相比，收、支总计各增加 202.64万元，增长 28.84%，变动原因：</w:t>
      </w:r>
      <w:r>
        <w:rPr>
          <w:rFonts w:hint="eastAsia" w:ascii="仿宋_GB2312" w:hAnsi="仿宋_GB2312" w:eastAsia="仿宋_GB2312" w:cs="仿宋_GB2312"/>
          <w:color w:val="000000"/>
          <w:kern w:val="0"/>
          <w:sz w:val="32"/>
          <w:szCs w:val="32"/>
          <w:u w:val="none" w:color="auto"/>
          <w:lang w:val="en-US" w:eastAsia="zh-CN"/>
        </w:rPr>
        <w:t>本年度新增3名事业编制人员，工资社保增加；政务服务中心税务专区改造费增加；公共资源交易中心追加专家评标室改造费</w:t>
      </w:r>
      <w:r>
        <w:rPr>
          <w:rFonts w:hint="eastAsia" w:ascii="仿宋_GB2312" w:hAnsi="仿宋_GB2312" w:eastAsia="仿宋_GB2312" w:cs="仿宋_GB2312"/>
          <w:color w:val="000000"/>
          <w:kern w:val="0"/>
          <w:sz w:val="32"/>
          <w:szCs w:val="32"/>
          <w:u w:val="none" w:color="auto"/>
        </w:rPr>
        <w:t>；与上年决算相比，收、支总计各增加241.23万元，增长36.33%，变动原因：</w:t>
      </w:r>
      <w:r>
        <w:rPr>
          <w:rFonts w:hint="eastAsia" w:ascii="仿宋_GB2312" w:hAnsi="仿宋_GB2312" w:eastAsia="仿宋_GB2312" w:cs="仿宋_GB2312"/>
          <w:color w:val="000000"/>
          <w:kern w:val="0"/>
          <w:sz w:val="32"/>
          <w:szCs w:val="32"/>
          <w:u w:val="none" w:color="auto"/>
          <w:lang w:val="en-US" w:eastAsia="zh-CN"/>
        </w:rPr>
        <w:t>本年度新增3名事业编制人员，工资社保增加；政务服务中心税务专区改造费增加；公共资源交易中心追加专家评标室改造费</w:t>
      </w:r>
      <w:r>
        <w:rPr>
          <w:rFonts w:hint="eastAsia" w:ascii="仿宋_GB2312" w:hAnsi="仿宋_GB2312" w:eastAsia="仿宋_GB2312" w:cs="仿宋_GB2312"/>
          <w:color w:val="000000"/>
          <w:kern w:val="0"/>
          <w:sz w:val="32"/>
          <w:szCs w:val="32"/>
          <w:u w:val="none" w:color="auto"/>
        </w:rPr>
        <w:t>。</w:t>
      </w:r>
    </w:p>
    <w:p w14:paraId="76D63B98">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五、一般公共预算财政拨款支出决算情况说明</w:t>
      </w:r>
    </w:p>
    <w:p w14:paraId="22F4A34D">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2024年度一般公共预算财政拨款支出决算 903.38万元。与年初预算 702.63万元相比，完成年初预算的 128.57%。其中：</w:t>
      </w:r>
    </w:p>
    <w:p w14:paraId="3F8BD796">
      <w:pPr>
        <w:widowControl/>
        <w:spacing w:before="240" w:after="240"/>
        <w:jc w:val="left"/>
        <w:rPr>
          <w:rFonts w:ascii="Times New Roman" w:hAnsi="Times New Roman" w:eastAsia="Times New Roman" w:cs="Times New Roman"/>
          <w:kern w:val="0"/>
          <w:sz w:val="32"/>
          <w:szCs w:val="32"/>
        </w:rPr>
      </w:pPr>
      <w:r>
        <w:rPr>
          <w:rFonts w:ascii="kai_ti_gb2312" w:hAnsi="kai_ti_gb2312" w:eastAsia="kai_ti_gb2312" w:cs="kai_ti_gb2312"/>
          <w:b/>
          <w:bCs/>
          <w:color w:val="000000"/>
          <w:kern w:val="0"/>
          <w:sz w:val="32"/>
          <w:szCs w:val="32"/>
        </w:rPr>
        <w:t>    （一）一般公共服务（类）</w:t>
      </w:r>
    </w:p>
    <w:p w14:paraId="444E6762">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u w:val="none" w:color="auto"/>
        </w:rPr>
        <w:t xml:space="preserve"> 一般公共服务（类）决算数为 823.26万元，与年初预算相比增加159.59万元。其中：</w:t>
      </w:r>
    </w:p>
    <w:p w14:paraId="4AEAFE19">
      <w:pPr>
        <w:widowControl/>
        <w:spacing w:before="240" w:after="24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000000"/>
          <w:kern w:val="0"/>
          <w:sz w:val="32"/>
          <w:szCs w:val="32"/>
          <w:u w:val="none" w:color="auto"/>
        </w:rPr>
        <w:t>    1．</w:t>
      </w:r>
      <w:r>
        <w:rPr>
          <w:rFonts w:hint="eastAsia" w:ascii="仿宋_GB2312" w:hAnsi="仿宋_GB2312" w:eastAsia="仿宋_GB2312" w:cs="仿宋_GB2312"/>
          <w:sz w:val="32"/>
          <w:szCs w:val="32"/>
        </w:rPr>
        <w:t>政府办公厅（室）及相关机构事务（款）</w:t>
      </w:r>
      <w:r>
        <w:rPr>
          <w:rFonts w:hint="eastAsia" w:ascii="仿宋_GB2312" w:hAnsi="仿宋_GB2312" w:eastAsia="仿宋_GB2312" w:cs="仿宋_GB2312"/>
          <w:sz w:val="32"/>
          <w:szCs w:val="32"/>
          <w:lang w:val="en-US" w:eastAsia="zh-CN"/>
        </w:rPr>
        <w:t>行政</w:t>
      </w:r>
      <w:r>
        <w:rPr>
          <w:rFonts w:hint="eastAsia" w:ascii="仿宋_GB2312" w:hAnsi="仿宋_GB2312" w:eastAsia="仿宋_GB2312" w:cs="仿宋_GB2312"/>
          <w:sz w:val="32"/>
          <w:szCs w:val="32"/>
        </w:rPr>
        <w:t>运行（项）</w:t>
      </w:r>
      <w:r>
        <w:rPr>
          <w:rFonts w:hint="eastAsia" w:ascii="仿宋_GB2312" w:hAnsi="仿宋_GB2312" w:eastAsia="仿宋_GB2312" w:cs="仿宋_GB2312"/>
          <w:kern w:val="0"/>
          <w:sz w:val="32"/>
          <w:szCs w:val="32"/>
        </w:rPr>
        <w:t>。年初预算</w:t>
      </w:r>
      <w:r>
        <w:rPr>
          <w:rFonts w:hint="eastAsia" w:ascii="仿宋_GB2312" w:hAnsi="仿宋_GB2312" w:eastAsia="仿宋_GB2312" w:cs="仿宋_GB2312"/>
          <w:kern w:val="0"/>
          <w:sz w:val="32"/>
          <w:szCs w:val="32"/>
          <w:lang w:val="en-US" w:eastAsia="zh-CN"/>
        </w:rPr>
        <w:t>337.75</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lang w:val="en-US" w:eastAsia="zh-CN"/>
        </w:rPr>
        <w:t>350.68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lang w:val="en-US" w:eastAsia="zh-CN"/>
        </w:rPr>
        <w:t>103.83</w:t>
      </w:r>
      <w:r>
        <w:rPr>
          <w:rFonts w:hint="eastAsia" w:ascii="仿宋_GB2312" w:hAnsi="仿宋_GB2312" w:eastAsia="仿宋_GB2312" w:cs="仿宋_GB2312"/>
          <w:kern w:val="0"/>
          <w:sz w:val="32"/>
          <w:szCs w:val="32"/>
        </w:rPr>
        <w:t>%。决算数与年初预算数的</w:t>
      </w:r>
      <w:r>
        <w:rPr>
          <w:rFonts w:hint="eastAsia" w:ascii="仿宋_GB2312" w:hAnsi="仿宋_GB2312" w:eastAsia="仿宋_GB2312" w:cs="仿宋_GB2312"/>
          <w:kern w:val="0"/>
          <w:sz w:val="32"/>
          <w:szCs w:val="32"/>
          <w:highlight w:val="none"/>
        </w:rPr>
        <w:t>差异原因：</w:t>
      </w:r>
      <w:r>
        <w:rPr>
          <w:rFonts w:hint="eastAsia" w:ascii="仿宋_GB2312" w:hAnsi="仿宋_GB2312" w:eastAsia="仿宋_GB2312" w:cs="仿宋_GB2312"/>
          <w:kern w:val="0"/>
          <w:sz w:val="32"/>
          <w:szCs w:val="32"/>
          <w:highlight w:val="none"/>
          <w:lang w:val="en-US" w:eastAsia="zh-CN"/>
        </w:rPr>
        <w:t>本年增加1名公务员，在职人员工资性支出减增加</w:t>
      </w:r>
      <w:r>
        <w:rPr>
          <w:rFonts w:hint="eastAsia" w:ascii="仿宋_GB2312" w:hAnsi="仿宋_GB2312" w:eastAsia="仿宋_GB2312" w:cs="仿宋_GB2312"/>
          <w:kern w:val="0"/>
          <w:sz w:val="32"/>
          <w:szCs w:val="32"/>
          <w:highlight w:val="none"/>
        </w:rPr>
        <w:t>。</w:t>
      </w:r>
    </w:p>
    <w:p w14:paraId="75CB34E5">
      <w:pPr>
        <w:spacing w:line="560" w:lineRule="exact"/>
        <w:ind w:firstLine="320" w:firstLineChars="100"/>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u w:val="none" w:color="auto"/>
        </w:rPr>
        <w:t>    2．</w:t>
      </w:r>
      <w:r>
        <w:rPr>
          <w:rFonts w:hint="eastAsia" w:ascii="仿宋_GB2312" w:hAnsi="仿宋_GB2312" w:eastAsia="仿宋_GB2312" w:cs="仿宋_GB2312"/>
          <w:sz w:val="32"/>
          <w:szCs w:val="32"/>
        </w:rPr>
        <w:t>政府办公厅（室）及相关机构事务（款）事业运行（项）。年初预算</w:t>
      </w:r>
      <w:r>
        <w:rPr>
          <w:rFonts w:hint="eastAsia" w:ascii="仿宋_GB2312" w:hAnsi="仿宋_GB2312" w:eastAsia="仿宋_GB2312" w:cs="仿宋_GB2312"/>
          <w:sz w:val="32"/>
          <w:szCs w:val="32"/>
          <w:lang w:val="en-US" w:eastAsia="zh-CN"/>
        </w:rPr>
        <w:t>298.12</w:t>
      </w:r>
      <w:r>
        <w:rPr>
          <w:rFonts w:hint="eastAsia" w:ascii="仿宋_GB2312" w:hAnsi="仿宋_GB2312" w:eastAsia="仿宋_GB2312" w:cs="仿宋_GB2312"/>
          <w:sz w:val="32"/>
          <w:szCs w:val="32"/>
        </w:rPr>
        <w:t>万元，支出决算</w:t>
      </w:r>
      <w:r>
        <w:rPr>
          <w:rFonts w:hint="eastAsia" w:ascii="仿宋_GB2312" w:hAnsi="仿宋_GB2312" w:eastAsia="仿宋_GB2312" w:cs="仿宋_GB2312"/>
          <w:sz w:val="32"/>
          <w:szCs w:val="32"/>
          <w:lang w:val="en-US" w:eastAsia="zh-CN"/>
        </w:rPr>
        <w:t>472.59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158.52%</w:t>
      </w:r>
      <w:r>
        <w:rPr>
          <w:rFonts w:hint="eastAsia" w:ascii="仿宋_GB2312" w:hAnsi="仿宋_GB2312" w:eastAsia="仿宋_GB2312" w:cs="仿宋_GB2312"/>
          <w:sz w:val="32"/>
          <w:szCs w:val="32"/>
        </w:rPr>
        <w:t>。差</w:t>
      </w:r>
      <w:r>
        <w:rPr>
          <w:rFonts w:hint="eastAsia" w:ascii="仿宋_GB2312" w:hAnsi="仿宋_GB2312" w:eastAsia="仿宋_GB2312" w:cs="仿宋_GB2312"/>
          <w:sz w:val="32"/>
          <w:szCs w:val="32"/>
          <w:highlight w:val="none"/>
        </w:rPr>
        <w:t>异原因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本年度追加政务服务中心税务专区改造费，共公共资源交易中心专家评标室改造费</w:t>
      </w:r>
      <w:r>
        <w:rPr>
          <w:rFonts w:hint="eastAsia" w:ascii="仿宋_GB2312" w:hAnsi="仿宋_GB2312" w:eastAsia="仿宋_GB2312" w:cs="仿宋_GB2312"/>
          <w:sz w:val="32"/>
          <w:szCs w:val="32"/>
        </w:rPr>
        <w:t xml:space="preserve"> 。</w:t>
      </w:r>
    </w:p>
    <w:p w14:paraId="6E6CB5DE">
      <w:pPr>
        <w:widowControl/>
        <w:spacing w:before="240" w:after="240"/>
        <w:ind w:firstLine="640" w:firstLineChars="200"/>
        <w:jc w:val="left"/>
        <w:rPr>
          <w:rFonts w:ascii="Times New Roman" w:hAnsi="Times New Roman" w:eastAsia="Times New Roman" w:cs="Times New Roman"/>
          <w:kern w:val="0"/>
          <w:sz w:val="32"/>
          <w:szCs w:val="32"/>
        </w:rPr>
      </w:pPr>
      <w:r>
        <w:rPr>
          <w:rFonts w:ascii="kai_ti_gb2312" w:hAnsi="kai_ti_gb2312" w:eastAsia="kai_ti_gb2312" w:cs="kai_ti_gb2312"/>
          <w:b/>
          <w:bCs/>
          <w:color w:val="000000"/>
          <w:kern w:val="0"/>
          <w:sz w:val="32"/>
          <w:szCs w:val="32"/>
        </w:rPr>
        <w:t>（二）公共安全（类）</w:t>
      </w:r>
    </w:p>
    <w:p w14:paraId="4C2B0077">
      <w:pPr>
        <w:widowControl/>
        <w:spacing w:before="240" w:after="240"/>
        <w:rPr>
          <w:rFonts w:hint="eastAsia" w:ascii="仿宋_GB2312" w:hAnsi="仿宋_GB2312" w:eastAsia="仿宋_GB2312" w:cs="仿宋_GB2312"/>
          <w:kern w:val="0"/>
          <w:sz w:val="32"/>
          <w:szCs w:val="32"/>
          <w:u w:val="none" w:color="auto"/>
          <w:lang w:val="en-US" w:eastAsia="zh-CN"/>
        </w:rPr>
      </w:pPr>
      <w:r>
        <w:rPr>
          <w:rFonts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u w:val="none" w:color="auto"/>
        </w:rPr>
        <w:t xml:space="preserve"> 公共安全（类）决算数为 0万元，与年初预算</w:t>
      </w:r>
      <w:r>
        <w:rPr>
          <w:rFonts w:hint="eastAsia" w:ascii="仿宋_GB2312" w:hAnsi="仿宋_GB2312" w:eastAsia="仿宋_GB2312" w:cs="仿宋_GB2312"/>
          <w:color w:val="000000"/>
          <w:kern w:val="0"/>
          <w:sz w:val="32"/>
          <w:szCs w:val="32"/>
          <w:u w:val="none" w:color="auto"/>
          <w:lang w:val="en-US" w:eastAsia="zh-CN"/>
        </w:rPr>
        <w:t>数</w:t>
      </w:r>
      <w:r>
        <w:rPr>
          <w:rFonts w:hint="eastAsia" w:ascii="仿宋_GB2312" w:hAnsi="仿宋_GB2312" w:eastAsia="仿宋_GB2312" w:cs="仿宋_GB2312"/>
          <w:color w:val="000000"/>
          <w:kern w:val="0"/>
          <w:sz w:val="32"/>
          <w:szCs w:val="32"/>
          <w:u w:val="none" w:color="auto"/>
        </w:rPr>
        <w:t>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rPr>
        <w:t>。</w:t>
      </w:r>
      <w:r>
        <w:rPr>
          <w:rFonts w:hint="eastAsia" w:ascii="仿宋_GB2312" w:hAnsi="仿宋_GB2312" w:eastAsia="仿宋_GB2312" w:cs="仿宋_GB2312"/>
          <w:color w:val="000000"/>
          <w:kern w:val="0"/>
          <w:sz w:val="32"/>
          <w:szCs w:val="32"/>
          <w:u w:val="none" w:color="auto"/>
          <w:lang w:val="en-US" w:eastAsia="zh-CN"/>
        </w:rPr>
        <w:t>本单位不存在此项内容。</w:t>
      </w:r>
    </w:p>
    <w:p w14:paraId="247C2B69">
      <w:pPr>
        <w:widowControl/>
        <w:spacing w:before="240" w:after="240"/>
        <w:ind w:firstLine="640" w:firstLineChars="200"/>
        <w:jc w:val="left"/>
        <w:rPr>
          <w:rFonts w:ascii="Times New Roman" w:hAnsi="Times New Roman" w:eastAsia="Times New Roman" w:cs="Times New Roman"/>
          <w:kern w:val="0"/>
          <w:sz w:val="32"/>
          <w:szCs w:val="32"/>
        </w:rPr>
      </w:pPr>
      <w:r>
        <w:rPr>
          <w:rFonts w:ascii="kai_ti_gb2312" w:hAnsi="kai_ti_gb2312" w:eastAsia="kai_ti_gb2312" w:cs="kai_ti_gb2312"/>
          <w:b/>
          <w:bCs/>
          <w:color w:val="000000"/>
          <w:kern w:val="0"/>
          <w:sz w:val="32"/>
          <w:szCs w:val="32"/>
        </w:rPr>
        <w:t>（三）社会保障和就业支出（类）</w:t>
      </w:r>
    </w:p>
    <w:p w14:paraId="012B20E1">
      <w:pPr>
        <w:widowControl/>
        <w:spacing w:before="240" w:after="240"/>
        <w:jc w:val="left"/>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u w:val="none" w:color="auto"/>
        </w:rPr>
        <w:t xml:space="preserve"> 社会保障和就业支出（类）决算数为 40.98万元，与年初预算相比增加24.64万元。其中：</w:t>
      </w:r>
    </w:p>
    <w:p w14:paraId="71F55D78">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1．行政事业单位养老支出（款）行政单位离退休（项）。年初预算</w:t>
      </w:r>
      <w:r>
        <w:rPr>
          <w:rFonts w:hint="eastAsia" w:ascii="仿宋_GB2312" w:hAnsi="仿宋_GB2312" w:eastAsia="仿宋_GB2312" w:cs="仿宋_GB2312"/>
          <w:color w:val="000000"/>
          <w:kern w:val="0"/>
          <w:sz w:val="32"/>
          <w:szCs w:val="32"/>
          <w:u w:val="none" w:color="auto"/>
          <w:lang w:val="en-US" w:eastAsia="zh-CN"/>
        </w:rPr>
        <w:t>5.85</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6.23</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106.49</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本年度增加1名退休人员</w:t>
      </w:r>
      <w:r>
        <w:rPr>
          <w:rFonts w:hint="eastAsia" w:ascii="仿宋_GB2312" w:hAnsi="仿宋_GB2312" w:eastAsia="仿宋_GB2312" w:cs="仿宋_GB2312"/>
          <w:color w:val="000000"/>
          <w:kern w:val="0"/>
          <w:sz w:val="32"/>
          <w:szCs w:val="32"/>
          <w:u w:val="none" w:color="auto"/>
        </w:rPr>
        <w:t>。</w:t>
      </w:r>
    </w:p>
    <w:p w14:paraId="2BED6D09">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w:t>
      </w:r>
      <w:r>
        <w:rPr>
          <w:rFonts w:hint="eastAsia" w:ascii="仿宋_GB2312" w:hAnsi="仿宋_GB2312" w:eastAsia="仿宋_GB2312" w:cs="仿宋_GB2312"/>
          <w:color w:val="000000"/>
          <w:kern w:val="0"/>
          <w:sz w:val="32"/>
          <w:szCs w:val="32"/>
          <w:u w:val="none" w:color="auto"/>
          <w:lang w:val="en-US" w:eastAsia="zh-CN"/>
        </w:rPr>
        <w:t>2</w:t>
      </w:r>
      <w:r>
        <w:rPr>
          <w:rFonts w:hint="eastAsia" w:ascii="仿宋_GB2312" w:hAnsi="仿宋_GB2312" w:eastAsia="仿宋_GB2312" w:cs="仿宋_GB2312"/>
          <w:color w:val="000000"/>
          <w:kern w:val="0"/>
          <w:sz w:val="32"/>
          <w:szCs w:val="32"/>
          <w:u w:val="none" w:color="auto"/>
        </w:rPr>
        <w:t>．行政事业单位养老支出（款）机关事业单位基本养老保险缴费支出（项）。年初预算</w:t>
      </w:r>
      <w:r>
        <w:rPr>
          <w:rFonts w:hint="eastAsia" w:ascii="仿宋_GB2312" w:hAnsi="仿宋_GB2312" w:eastAsia="仿宋_GB2312" w:cs="仿宋_GB2312"/>
          <w:color w:val="000000"/>
          <w:kern w:val="0"/>
          <w:sz w:val="32"/>
          <w:szCs w:val="32"/>
          <w:u w:val="none" w:color="auto"/>
          <w:lang w:val="en-US" w:eastAsia="zh-CN"/>
        </w:rPr>
        <w:t>23.98</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27.52</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114.76</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本年度新增3名事业编制人员</w:t>
      </w:r>
      <w:r>
        <w:rPr>
          <w:rFonts w:hint="eastAsia" w:ascii="仿宋_GB2312" w:hAnsi="仿宋_GB2312" w:eastAsia="仿宋_GB2312" w:cs="仿宋_GB2312"/>
          <w:color w:val="000000"/>
          <w:kern w:val="0"/>
          <w:sz w:val="32"/>
          <w:szCs w:val="32"/>
          <w:u w:val="none" w:color="auto"/>
        </w:rPr>
        <w:t>。</w:t>
      </w:r>
    </w:p>
    <w:p w14:paraId="61C62DE2">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w:t>
      </w:r>
      <w:r>
        <w:rPr>
          <w:rFonts w:hint="eastAsia" w:ascii="仿宋_GB2312" w:hAnsi="仿宋_GB2312" w:eastAsia="仿宋_GB2312" w:cs="仿宋_GB2312"/>
          <w:color w:val="000000"/>
          <w:kern w:val="0"/>
          <w:sz w:val="32"/>
          <w:szCs w:val="32"/>
          <w:u w:val="none" w:color="auto"/>
          <w:lang w:val="en-US" w:eastAsia="zh-CN"/>
        </w:rPr>
        <w:t>3</w:t>
      </w:r>
      <w:r>
        <w:rPr>
          <w:rFonts w:hint="eastAsia" w:ascii="仿宋_GB2312" w:hAnsi="仿宋_GB2312" w:eastAsia="仿宋_GB2312" w:cs="仿宋_GB2312"/>
          <w:color w:val="000000"/>
          <w:kern w:val="0"/>
          <w:sz w:val="32"/>
          <w:szCs w:val="32"/>
          <w:u w:val="none" w:color="auto"/>
        </w:rPr>
        <w:t>．行政事业单位养老支出（款）机关事业单位职业年金缴费支出（项）。年初预算</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7.23</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723</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本年度新增一名退休人员缴纳职业年金</w:t>
      </w:r>
      <w:r>
        <w:rPr>
          <w:rFonts w:hint="eastAsia" w:ascii="仿宋_GB2312" w:hAnsi="仿宋_GB2312" w:eastAsia="仿宋_GB2312" w:cs="仿宋_GB2312"/>
          <w:color w:val="000000"/>
          <w:kern w:val="0"/>
          <w:sz w:val="32"/>
          <w:szCs w:val="32"/>
          <w:u w:val="none" w:color="auto"/>
        </w:rPr>
        <w:t>。</w:t>
      </w:r>
    </w:p>
    <w:p w14:paraId="5247B5E9">
      <w:pPr>
        <w:widowControl/>
        <w:spacing w:before="240" w:after="240"/>
        <w:jc w:val="left"/>
        <w:rPr>
          <w:rFonts w:ascii="Times New Roman" w:hAnsi="Times New Roman" w:eastAsia="Times New Roman" w:cs="Times New Roman"/>
          <w:kern w:val="0"/>
          <w:sz w:val="32"/>
          <w:szCs w:val="32"/>
        </w:rPr>
      </w:pPr>
      <w:r>
        <w:rPr>
          <w:rFonts w:hint="eastAsia" w:ascii="仿宋_GB2312" w:hAnsi="仿宋_GB2312" w:eastAsia="仿宋_GB2312" w:cs="仿宋_GB2312"/>
          <w:color w:val="000000"/>
          <w:kern w:val="0"/>
          <w:sz w:val="32"/>
          <w:szCs w:val="32"/>
          <w:u w:val="none" w:color="auto"/>
        </w:rPr>
        <w:t xml:space="preserve">  </w:t>
      </w:r>
      <w:r>
        <w:rPr>
          <w:rFonts w:hint="eastAsia" w:ascii="仿宋_GB2312" w:hAnsi="仿宋_GB2312" w:eastAsia="仿宋_GB2312" w:cs="仿宋_GB2312"/>
          <w:color w:val="000000"/>
          <w:kern w:val="0"/>
          <w:sz w:val="32"/>
          <w:szCs w:val="32"/>
          <w:u w:val="none" w:color="auto"/>
          <w:lang w:val="en-US" w:eastAsia="zh-CN"/>
        </w:rPr>
        <w:t xml:space="preserve"> </w:t>
      </w:r>
      <w:r>
        <w:rPr>
          <w:rFonts w:ascii="kai_ti_gb2312" w:hAnsi="kai_ti_gb2312" w:eastAsia="kai_ti_gb2312" w:cs="kai_ti_gb2312"/>
          <w:b/>
          <w:bCs/>
          <w:color w:val="000000"/>
          <w:kern w:val="0"/>
          <w:sz w:val="32"/>
          <w:szCs w:val="32"/>
        </w:rPr>
        <w:t>（四）卫生健康支出（类）</w:t>
      </w:r>
    </w:p>
    <w:p w14:paraId="1A550E7D">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u w:val="none" w:color="auto"/>
        </w:rPr>
        <w:t xml:space="preserve"> 卫生健康支出（类）决算数为 15.46万元，与年初预算相比增加6.94万元。其中：</w:t>
      </w:r>
    </w:p>
    <w:p w14:paraId="01EB679B">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1．行政事业单位医疗（款）行政单位医疗（项）。年初预算</w:t>
      </w:r>
      <w:r>
        <w:rPr>
          <w:rFonts w:hint="eastAsia" w:ascii="仿宋_GB2312" w:hAnsi="仿宋_GB2312" w:eastAsia="仿宋_GB2312" w:cs="仿宋_GB2312"/>
          <w:color w:val="000000"/>
          <w:kern w:val="0"/>
          <w:sz w:val="32"/>
          <w:szCs w:val="32"/>
          <w:u w:val="none" w:color="auto"/>
          <w:lang w:val="en-US" w:eastAsia="zh-CN"/>
        </w:rPr>
        <w:t>8.52</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9.51</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111.62</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本年度新增3名事业编制人员</w:t>
      </w:r>
      <w:r>
        <w:rPr>
          <w:rFonts w:hint="eastAsia" w:ascii="仿宋_GB2312" w:hAnsi="仿宋_GB2312" w:eastAsia="仿宋_GB2312" w:cs="仿宋_GB2312"/>
          <w:color w:val="000000"/>
          <w:kern w:val="0"/>
          <w:sz w:val="32"/>
          <w:szCs w:val="32"/>
          <w:u w:val="none" w:color="auto"/>
        </w:rPr>
        <w:t>。</w:t>
      </w:r>
    </w:p>
    <w:p w14:paraId="33AA0A9B">
      <w:pPr>
        <w:widowControl/>
        <w:spacing w:before="240" w:after="240"/>
        <w:jc w:val="left"/>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2．行政事业单位医疗（款）事业单位医疗（项）。年初预算</w:t>
      </w:r>
      <w:r>
        <w:rPr>
          <w:rFonts w:hint="eastAsia" w:ascii="仿宋_GB2312" w:hAnsi="仿宋_GB2312" w:eastAsia="仿宋_GB2312" w:cs="仿宋_GB2312"/>
          <w:color w:val="000000"/>
          <w:kern w:val="0"/>
          <w:sz w:val="32"/>
          <w:szCs w:val="32"/>
          <w:u w:val="none" w:color="auto"/>
          <w:lang w:val="en-US" w:eastAsia="zh-CN"/>
        </w:rPr>
        <w:t>5.36</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5.95</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111.01</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本年度新增3名事业编制人员</w:t>
      </w:r>
      <w:r>
        <w:rPr>
          <w:rFonts w:hint="eastAsia" w:ascii="仿宋_GB2312" w:hAnsi="仿宋_GB2312" w:eastAsia="仿宋_GB2312" w:cs="仿宋_GB2312"/>
          <w:color w:val="000000"/>
          <w:kern w:val="0"/>
          <w:sz w:val="32"/>
          <w:szCs w:val="32"/>
          <w:u w:val="none" w:color="auto"/>
        </w:rPr>
        <w:t>。</w:t>
      </w:r>
    </w:p>
    <w:p w14:paraId="2863B9AA">
      <w:pPr>
        <w:widowControl/>
        <w:spacing w:before="240" w:after="240"/>
        <w:ind w:firstLine="643" w:firstLineChars="20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b/>
          <w:bCs/>
          <w:color w:val="000000"/>
          <w:kern w:val="0"/>
          <w:sz w:val="32"/>
          <w:szCs w:val="32"/>
          <w:u w:val="none" w:color="auto"/>
        </w:rPr>
        <w:t>（五）住房保障支出（类）</w:t>
      </w:r>
    </w:p>
    <w:p w14:paraId="70A3F82D">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住房保障支出（类）决算数为 23.67万元，与年初预算相比增加</w:t>
      </w:r>
      <w:r>
        <w:rPr>
          <w:rFonts w:hint="eastAsia" w:ascii="仿宋_GB2312" w:hAnsi="仿宋_GB2312" w:eastAsia="仿宋_GB2312" w:cs="仿宋_GB2312"/>
          <w:color w:val="000000"/>
          <w:kern w:val="0"/>
          <w:sz w:val="32"/>
          <w:szCs w:val="32"/>
          <w:u w:val="none" w:color="auto"/>
          <w:lang w:val="en-US" w:eastAsia="zh-CN"/>
        </w:rPr>
        <w:t>0.61</w:t>
      </w:r>
      <w:r>
        <w:rPr>
          <w:rFonts w:hint="eastAsia" w:ascii="仿宋_GB2312" w:hAnsi="仿宋_GB2312" w:eastAsia="仿宋_GB2312" w:cs="仿宋_GB2312"/>
          <w:color w:val="000000"/>
          <w:kern w:val="0"/>
          <w:sz w:val="32"/>
          <w:szCs w:val="32"/>
          <w:u w:val="none" w:color="auto"/>
        </w:rPr>
        <w:t>万元。其中：</w:t>
      </w:r>
    </w:p>
    <w:p w14:paraId="154E23C2">
      <w:pPr>
        <w:widowControl/>
        <w:spacing w:before="240" w:after="240"/>
        <w:jc w:val="left"/>
        <w:rPr>
          <w:rFonts w:ascii="Times New Roman" w:hAnsi="Times New Roman" w:eastAsia="Times New Roman" w:cs="Times New Roman"/>
          <w:kern w:val="0"/>
          <w:sz w:val="32"/>
          <w:szCs w:val="32"/>
        </w:rPr>
      </w:pPr>
      <w:r>
        <w:rPr>
          <w:rFonts w:hint="eastAsia" w:ascii="仿宋_GB2312" w:hAnsi="仿宋_GB2312" w:eastAsia="仿宋_GB2312" w:cs="仿宋_GB2312"/>
          <w:color w:val="000000"/>
          <w:kern w:val="0"/>
          <w:sz w:val="32"/>
          <w:szCs w:val="32"/>
          <w:u w:val="none" w:color="auto"/>
        </w:rPr>
        <w:t>    1．住房改革支出（款）住房公积金（项）。年初预算</w:t>
      </w:r>
      <w:r>
        <w:rPr>
          <w:rFonts w:hint="eastAsia" w:ascii="仿宋_GB2312" w:hAnsi="仿宋_GB2312" w:eastAsia="仿宋_GB2312" w:cs="仿宋_GB2312"/>
          <w:color w:val="000000"/>
          <w:kern w:val="0"/>
          <w:sz w:val="32"/>
          <w:szCs w:val="32"/>
          <w:u w:val="none" w:color="auto"/>
          <w:lang w:val="en-US" w:eastAsia="zh-CN"/>
        </w:rPr>
        <w:t>23.06</w:t>
      </w:r>
      <w:r>
        <w:rPr>
          <w:rFonts w:hint="eastAsia" w:ascii="仿宋_GB2312" w:hAnsi="仿宋_GB2312" w:eastAsia="仿宋_GB2312" w:cs="仿宋_GB2312"/>
          <w:color w:val="000000"/>
          <w:kern w:val="0"/>
          <w:sz w:val="32"/>
          <w:szCs w:val="32"/>
          <w:u w:val="none" w:color="auto"/>
        </w:rPr>
        <w:t>万元，支出决算</w:t>
      </w:r>
      <w:r>
        <w:rPr>
          <w:rFonts w:hint="eastAsia" w:ascii="仿宋_GB2312" w:hAnsi="仿宋_GB2312" w:eastAsia="仿宋_GB2312" w:cs="仿宋_GB2312"/>
          <w:color w:val="000000"/>
          <w:kern w:val="0"/>
          <w:sz w:val="32"/>
          <w:szCs w:val="32"/>
          <w:u w:val="none" w:color="auto"/>
          <w:lang w:val="en-US" w:eastAsia="zh-CN"/>
        </w:rPr>
        <w:t>23.67</w:t>
      </w:r>
      <w:r>
        <w:rPr>
          <w:rFonts w:hint="eastAsia" w:ascii="仿宋_GB2312" w:hAnsi="仿宋_GB2312" w:eastAsia="仿宋_GB2312" w:cs="仿宋_GB2312"/>
          <w:color w:val="000000"/>
          <w:kern w:val="0"/>
          <w:sz w:val="32"/>
          <w:szCs w:val="32"/>
          <w:u w:val="none" w:color="auto"/>
        </w:rPr>
        <w:t>万元，完成年初预算的</w:t>
      </w:r>
      <w:r>
        <w:rPr>
          <w:rFonts w:hint="eastAsia" w:ascii="仿宋_GB2312" w:hAnsi="仿宋_GB2312" w:eastAsia="仿宋_GB2312" w:cs="仿宋_GB2312"/>
          <w:color w:val="000000"/>
          <w:kern w:val="0"/>
          <w:sz w:val="32"/>
          <w:szCs w:val="32"/>
          <w:u w:val="none" w:color="auto"/>
          <w:lang w:val="en-US" w:eastAsia="zh-CN"/>
        </w:rPr>
        <w:t>102.65</w:t>
      </w:r>
      <w:r>
        <w:rPr>
          <w:rFonts w:hint="eastAsia" w:ascii="仿宋_GB2312" w:hAnsi="仿宋_GB2312" w:eastAsia="仿宋_GB2312" w:cs="仿宋_GB2312"/>
          <w:color w:val="000000"/>
          <w:kern w:val="0"/>
          <w:sz w:val="32"/>
          <w:szCs w:val="32"/>
          <w:u w:val="none" w:color="auto"/>
        </w:rPr>
        <w:t>%。决算数与年初预算数的差异原因：</w:t>
      </w:r>
      <w:r>
        <w:rPr>
          <w:rFonts w:hint="eastAsia" w:ascii="仿宋_GB2312" w:hAnsi="仿宋_GB2312" w:eastAsia="仿宋_GB2312" w:cs="仿宋_GB2312"/>
          <w:color w:val="000000"/>
          <w:kern w:val="0"/>
          <w:sz w:val="32"/>
          <w:szCs w:val="32"/>
          <w:u w:val="none" w:color="auto"/>
          <w:lang w:val="en-US" w:eastAsia="zh-CN"/>
        </w:rPr>
        <w:t>本年度新增3名事业编制人员</w:t>
      </w:r>
      <w:r>
        <w:rPr>
          <w:rFonts w:hint="eastAsia" w:ascii="仿宋_GB2312" w:hAnsi="仿宋_GB2312" w:eastAsia="仿宋_GB2312" w:cs="仿宋_GB2312"/>
          <w:color w:val="000000"/>
          <w:kern w:val="0"/>
          <w:sz w:val="32"/>
          <w:szCs w:val="32"/>
          <w:u w:val="none" w:color="auto"/>
        </w:rPr>
        <w:t>。</w:t>
      </w:r>
    </w:p>
    <w:p w14:paraId="485CF73B">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六、一般公共预算财政拨款基本支出决算情况说明</w:t>
      </w:r>
    </w:p>
    <w:p w14:paraId="56CC086A">
      <w:pPr>
        <w:widowControl/>
        <w:spacing w:before="240" w:after="240"/>
        <w:rPr>
          <w:rFonts w:hint="eastAsia" w:ascii="仿宋_GB2312" w:hAnsi="仿宋_GB2312" w:eastAsia="仿宋_GB2312" w:cs="仿宋_GB2312"/>
          <w:kern w:val="0"/>
          <w:sz w:val="32"/>
          <w:szCs w:val="32"/>
        </w:rPr>
      </w:pPr>
      <w:r>
        <w:rPr>
          <w:rFonts w:ascii="仿宋_GB2312" w:hAnsi="仿宋_GB2312" w:eastAsia="仿宋_GB2312" w:cs="仿宋_GB2312"/>
          <w:color w:val="0E00FE"/>
          <w:kern w:val="0"/>
          <w:sz w:val="32"/>
          <w:szCs w:val="32"/>
        </w:rPr>
        <w:t xml:space="preserve">  </w:t>
      </w:r>
      <w:r>
        <w:rPr>
          <w:rFonts w:ascii="仿宋_GB2312" w:hAnsi="仿宋_GB2312" w:eastAsia="仿宋_GB2312" w:cs="仿宋_GB2312"/>
          <w:kern w:val="0"/>
          <w:sz w:val="32"/>
          <w:szCs w:val="32"/>
        </w:rPr>
        <w:t xml:space="preserve">  </w:t>
      </w:r>
      <w:r>
        <w:rPr>
          <w:rFonts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2024年度一般公共预算财政拨款基本支出决算 903.38万元，其中：</w:t>
      </w:r>
    </w:p>
    <w:p w14:paraId="05DD1EC6">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b/>
          <w:bCs/>
          <w:color w:val="000000"/>
          <w:kern w:val="0"/>
          <w:sz w:val="32"/>
          <w:szCs w:val="32"/>
        </w:rPr>
        <w:t xml:space="preserve">  </w:t>
      </w:r>
      <w:r>
        <w:rPr>
          <w:rFonts w:hint="eastAsia" w:ascii="仿宋_GB2312" w:hAnsi="仿宋_GB2312" w:eastAsia="仿宋_GB2312" w:cs="仿宋_GB2312"/>
          <w:b/>
          <w:bCs/>
          <w:color w:val="000000"/>
          <w:kern w:val="0"/>
          <w:sz w:val="32"/>
          <w:szCs w:val="32"/>
          <w:u w:val="none" w:color="auto"/>
        </w:rPr>
        <w:t>  （一）人员经费</w:t>
      </w:r>
      <w:r>
        <w:rPr>
          <w:rFonts w:hint="eastAsia" w:ascii="仿宋_GB2312" w:hAnsi="仿宋_GB2312" w:eastAsia="仿宋_GB2312" w:cs="仿宋_GB2312"/>
          <w:color w:val="000000"/>
          <w:kern w:val="0"/>
          <w:sz w:val="32"/>
          <w:szCs w:val="32"/>
          <w:u w:val="none" w:color="auto"/>
        </w:rPr>
        <w:t> 328.74</w:t>
      </w:r>
      <w:r>
        <w:rPr>
          <w:rFonts w:hint="eastAsia" w:ascii="仿宋_GB2312" w:hAnsi="仿宋_GB2312" w:eastAsia="仿宋_GB2312" w:cs="仿宋_GB2312"/>
          <w:b/>
          <w:bCs/>
          <w:color w:val="000000"/>
          <w:kern w:val="0"/>
          <w:sz w:val="32"/>
          <w:szCs w:val="32"/>
          <w:u w:val="none" w:color="auto"/>
        </w:rPr>
        <w:t>万元</w:t>
      </w:r>
      <w:r>
        <w:rPr>
          <w:rFonts w:hint="eastAsia" w:ascii="仿宋_GB2312" w:hAnsi="仿宋_GB2312" w:eastAsia="仿宋_GB2312" w:cs="仿宋_GB2312"/>
          <w:color w:val="000000"/>
          <w:kern w:val="0"/>
          <w:sz w:val="32"/>
          <w:szCs w:val="32"/>
          <w:u w:val="none" w:color="auto"/>
        </w:rPr>
        <w:t>。主要包括：基本工资</w:t>
      </w:r>
      <w:r>
        <w:rPr>
          <w:rFonts w:hint="eastAsia" w:ascii="仿宋_GB2312" w:hAnsi="仿宋_GB2312" w:eastAsia="仿宋_GB2312" w:cs="仿宋_GB2312"/>
          <w:color w:val="000000"/>
          <w:kern w:val="0"/>
          <w:sz w:val="32"/>
          <w:szCs w:val="32"/>
          <w:u w:val="none" w:color="auto"/>
          <w:lang w:val="en-US" w:eastAsia="zh-CN"/>
        </w:rPr>
        <w:t>86.89万元</w:t>
      </w:r>
      <w:r>
        <w:rPr>
          <w:rFonts w:hint="eastAsia" w:ascii="仿宋_GB2312" w:hAnsi="仿宋_GB2312" w:eastAsia="仿宋_GB2312" w:cs="仿宋_GB2312"/>
          <w:color w:val="000000"/>
          <w:kern w:val="0"/>
          <w:sz w:val="32"/>
          <w:szCs w:val="32"/>
          <w:u w:val="none" w:color="auto"/>
        </w:rPr>
        <w:t>、津贴补贴</w:t>
      </w:r>
      <w:r>
        <w:rPr>
          <w:rFonts w:hint="eastAsia" w:ascii="仿宋_GB2312" w:hAnsi="仿宋_GB2312" w:eastAsia="仿宋_GB2312" w:cs="仿宋_GB2312"/>
          <w:color w:val="000000"/>
          <w:kern w:val="0"/>
          <w:sz w:val="32"/>
          <w:szCs w:val="32"/>
          <w:u w:val="none" w:color="auto"/>
          <w:lang w:val="en-US" w:eastAsia="zh-CN"/>
        </w:rPr>
        <w:t>45.73万元</w:t>
      </w:r>
      <w:r>
        <w:rPr>
          <w:rFonts w:hint="eastAsia" w:ascii="仿宋_GB2312" w:hAnsi="仿宋_GB2312" w:eastAsia="仿宋_GB2312" w:cs="仿宋_GB2312"/>
          <w:color w:val="000000"/>
          <w:kern w:val="0"/>
          <w:sz w:val="32"/>
          <w:szCs w:val="32"/>
          <w:u w:val="none" w:color="auto"/>
        </w:rPr>
        <w:t>、奖金</w:t>
      </w:r>
      <w:r>
        <w:rPr>
          <w:rFonts w:hint="eastAsia" w:ascii="仿宋_GB2312" w:hAnsi="仿宋_GB2312" w:eastAsia="仿宋_GB2312" w:cs="仿宋_GB2312"/>
          <w:color w:val="000000"/>
          <w:kern w:val="0"/>
          <w:sz w:val="32"/>
          <w:szCs w:val="32"/>
          <w:u w:val="none" w:color="auto"/>
          <w:lang w:val="en-US" w:eastAsia="zh-CN"/>
        </w:rPr>
        <w:t>5.06万元</w:t>
      </w:r>
      <w:r>
        <w:rPr>
          <w:rFonts w:hint="eastAsia" w:ascii="仿宋_GB2312" w:hAnsi="仿宋_GB2312" w:eastAsia="仿宋_GB2312" w:cs="仿宋_GB2312"/>
          <w:color w:val="000000"/>
          <w:kern w:val="0"/>
          <w:sz w:val="32"/>
          <w:szCs w:val="32"/>
          <w:u w:val="none" w:color="auto"/>
        </w:rPr>
        <w:t>、绩效工资</w:t>
      </w:r>
      <w:r>
        <w:rPr>
          <w:rFonts w:hint="eastAsia" w:ascii="仿宋_GB2312" w:hAnsi="仿宋_GB2312" w:eastAsia="仿宋_GB2312" w:cs="仿宋_GB2312"/>
          <w:color w:val="000000"/>
          <w:kern w:val="0"/>
          <w:sz w:val="32"/>
          <w:szCs w:val="32"/>
          <w:u w:val="none" w:color="auto"/>
          <w:lang w:val="en-US" w:eastAsia="zh-CN"/>
        </w:rPr>
        <w:t>18.18万元</w:t>
      </w:r>
      <w:r>
        <w:rPr>
          <w:rFonts w:hint="eastAsia" w:ascii="仿宋_GB2312" w:hAnsi="仿宋_GB2312" w:eastAsia="仿宋_GB2312" w:cs="仿宋_GB2312"/>
          <w:color w:val="000000"/>
          <w:kern w:val="0"/>
          <w:sz w:val="32"/>
          <w:szCs w:val="32"/>
          <w:u w:val="none" w:color="auto"/>
        </w:rPr>
        <w:t>、机关事业单位基本养老保险缴费</w:t>
      </w:r>
      <w:r>
        <w:rPr>
          <w:rFonts w:hint="eastAsia" w:ascii="仿宋_GB2312" w:hAnsi="仿宋_GB2312" w:eastAsia="仿宋_GB2312" w:cs="仿宋_GB2312"/>
          <w:color w:val="000000"/>
          <w:kern w:val="0"/>
          <w:sz w:val="32"/>
          <w:szCs w:val="32"/>
          <w:u w:val="none" w:color="auto"/>
          <w:lang w:val="en-US" w:eastAsia="zh-CN"/>
        </w:rPr>
        <w:t>41.02万元</w:t>
      </w:r>
      <w:r>
        <w:rPr>
          <w:rFonts w:hint="eastAsia" w:ascii="仿宋_GB2312" w:hAnsi="仿宋_GB2312" w:eastAsia="仿宋_GB2312" w:cs="仿宋_GB2312"/>
          <w:color w:val="000000"/>
          <w:kern w:val="0"/>
          <w:sz w:val="32"/>
          <w:szCs w:val="32"/>
          <w:u w:val="none" w:color="auto"/>
        </w:rPr>
        <w:t>、职业年金缴费</w:t>
      </w:r>
      <w:r>
        <w:rPr>
          <w:rFonts w:hint="eastAsia" w:ascii="仿宋_GB2312" w:hAnsi="仿宋_GB2312" w:eastAsia="仿宋_GB2312" w:cs="仿宋_GB2312"/>
          <w:color w:val="000000"/>
          <w:kern w:val="0"/>
          <w:sz w:val="32"/>
          <w:szCs w:val="32"/>
          <w:u w:val="none" w:color="auto"/>
          <w:lang w:val="en-US" w:eastAsia="zh-CN"/>
        </w:rPr>
        <w:t>13.99万元</w:t>
      </w:r>
      <w:r>
        <w:rPr>
          <w:rFonts w:hint="eastAsia" w:ascii="仿宋_GB2312" w:hAnsi="仿宋_GB2312" w:eastAsia="仿宋_GB2312" w:cs="仿宋_GB2312"/>
          <w:color w:val="000000"/>
          <w:kern w:val="0"/>
          <w:sz w:val="32"/>
          <w:szCs w:val="32"/>
          <w:u w:val="none" w:color="auto"/>
        </w:rPr>
        <w:t>、职工基本医疗保险缴费</w:t>
      </w:r>
      <w:r>
        <w:rPr>
          <w:rFonts w:hint="eastAsia" w:ascii="仿宋_GB2312" w:hAnsi="仿宋_GB2312" w:eastAsia="仿宋_GB2312" w:cs="仿宋_GB2312"/>
          <w:color w:val="000000"/>
          <w:kern w:val="0"/>
          <w:sz w:val="32"/>
          <w:szCs w:val="32"/>
          <w:u w:val="none" w:color="auto"/>
          <w:lang w:val="en-US" w:eastAsia="zh-CN"/>
        </w:rPr>
        <w:t>26.47万元</w:t>
      </w:r>
      <w:r>
        <w:rPr>
          <w:rFonts w:hint="eastAsia" w:ascii="仿宋_GB2312" w:hAnsi="仿宋_GB2312" w:eastAsia="仿宋_GB2312" w:cs="仿宋_GB2312"/>
          <w:color w:val="000000"/>
          <w:kern w:val="0"/>
          <w:sz w:val="32"/>
          <w:szCs w:val="32"/>
          <w:u w:val="none" w:color="auto"/>
        </w:rPr>
        <w:t>、住房公积金</w:t>
      </w:r>
      <w:r>
        <w:rPr>
          <w:rFonts w:hint="eastAsia" w:ascii="仿宋_GB2312" w:hAnsi="仿宋_GB2312" w:eastAsia="仿宋_GB2312" w:cs="仿宋_GB2312"/>
          <w:color w:val="000000"/>
          <w:kern w:val="0"/>
          <w:sz w:val="32"/>
          <w:szCs w:val="32"/>
          <w:u w:val="none" w:color="auto"/>
          <w:lang w:val="en-US" w:eastAsia="zh-CN"/>
        </w:rPr>
        <w:t>48.41万元</w:t>
      </w:r>
      <w:r>
        <w:rPr>
          <w:rFonts w:hint="eastAsia" w:ascii="仿宋_GB2312" w:hAnsi="仿宋_GB2312" w:eastAsia="仿宋_GB2312" w:cs="仿宋_GB2312"/>
          <w:color w:val="000000"/>
          <w:kern w:val="0"/>
          <w:sz w:val="32"/>
          <w:szCs w:val="32"/>
          <w:u w:val="none" w:color="auto"/>
        </w:rPr>
        <w:t>、其他工资福利支出</w:t>
      </w:r>
      <w:r>
        <w:rPr>
          <w:rFonts w:hint="eastAsia" w:ascii="仿宋_GB2312" w:hAnsi="仿宋_GB2312" w:eastAsia="仿宋_GB2312" w:cs="仿宋_GB2312"/>
          <w:color w:val="000000"/>
          <w:kern w:val="0"/>
          <w:sz w:val="32"/>
          <w:szCs w:val="32"/>
          <w:u w:val="none" w:color="auto"/>
          <w:lang w:val="en-US" w:eastAsia="zh-CN"/>
        </w:rPr>
        <w:t>16.47万元</w:t>
      </w:r>
      <w:r>
        <w:rPr>
          <w:rFonts w:hint="eastAsia" w:ascii="仿宋_GB2312" w:hAnsi="仿宋_GB2312" w:eastAsia="仿宋_GB2312" w:cs="仿宋_GB2312"/>
          <w:color w:val="000000"/>
          <w:kern w:val="0"/>
          <w:sz w:val="32"/>
          <w:szCs w:val="32"/>
          <w:u w:val="none" w:color="auto"/>
        </w:rPr>
        <w:t>、退休费</w:t>
      </w:r>
      <w:r>
        <w:rPr>
          <w:rFonts w:hint="eastAsia" w:ascii="仿宋_GB2312" w:hAnsi="仿宋_GB2312" w:eastAsia="仿宋_GB2312" w:cs="仿宋_GB2312"/>
          <w:color w:val="000000"/>
          <w:kern w:val="0"/>
          <w:sz w:val="32"/>
          <w:szCs w:val="32"/>
          <w:u w:val="none" w:color="auto"/>
          <w:lang w:val="en-US" w:eastAsia="zh-CN"/>
        </w:rPr>
        <w:t>6.23万元</w:t>
      </w:r>
      <w:r>
        <w:rPr>
          <w:rFonts w:hint="eastAsia" w:ascii="仿宋_GB2312" w:hAnsi="仿宋_GB2312" w:eastAsia="仿宋_GB2312" w:cs="仿宋_GB2312"/>
          <w:color w:val="000000"/>
          <w:kern w:val="0"/>
          <w:sz w:val="32"/>
          <w:szCs w:val="32"/>
          <w:u w:val="none" w:color="auto"/>
        </w:rPr>
        <w:t>。</w:t>
      </w:r>
    </w:p>
    <w:p w14:paraId="27229886">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b/>
          <w:bCs/>
          <w:color w:val="000000"/>
          <w:kern w:val="0"/>
          <w:sz w:val="32"/>
          <w:szCs w:val="32"/>
          <w:u w:val="none" w:color="auto"/>
        </w:rPr>
        <w:t>    （二）公用经费</w:t>
      </w:r>
      <w:r>
        <w:rPr>
          <w:rFonts w:hint="eastAsia" w:ascii="仿宋_GB2312" w:hAnsi="仿宋_GB2312" w:eastAsia="仿宋_GB2312" w:cs="仿宋_GB2312"/>
          <w:color w:val="000000"/>
          <w:kern w:val="0"/>
          <w:sz w:val="32"/>
          <w:szCs w:val="32"/>
          <w:u w:val="none" w:color="auto"/>
        </w:rPr>
        <w:t> 574.65</w:t>
      </w:r>
      <w:r>
        <w:rPr>
          <w:rFonts w:hint="eastAsia" w:ascii="仿宋_GB2312" w:hAnsi="仿宋_GB2312" w:eastAsia="仿宋_GB2312" w:cs="仿宋_GB2312"/>
          <w:b/>
          <w:bCs/>
          <w:color w:val="000000"/>
          <w:kern w:val="0"/>
          <w:sz w:val="32"/>
          <w:szCs w:val="32"/>
          <w:u w:val="none" w:color="auto"/>
        </w:rPr>
        <w:t>万元</w:t>
      </w:r>
      <w:r>
        <w:rPr>
          <w:rFonts w:hint="eastAsia" w:ascii="仿宋_GB2312" w:hAnsi="仿宋_GB2312" w:eastAsia="仿宋_GB2312" w:cs="仿宋_GB2312"/>
          <w:color w:val="000000"/>
          <w:kern w:val="0"/>
          <w:sz w:val="32"/>
          <w:szCs w:val="32"/>
          <w:u w:val="none" w:color="auto"/>
        </w:rPr>
        <w:t>。主要包括：办公费</w:t>
      </w:r>
      <w:r>
        <w:rPr>
          <w:rFonts w:hint="eastAsia" w:ascii="仿宋_GB2312" w:hAnsi="仿宋_GB2312" w:eastAsia="仿宋_GB2312" w:cs="仿宋_GB2312"/>
          <w:color w:val="000000"/>
          <w:kern w:val="0"/>
          <w:sz w:val="32"/>
          <w:szCs w:val="32"/>
          <w:u w:val="none" w:color="auto"/>
          <w:lang w:val="en-US" w:eastAsia="zh-CN"/>
        </w:rPr>
        <w:t>38.98万元</w:t>
      </w:r>
      <w:r>
        <w:rPr>
          <w:rFonts w:hint="eastAsia" w:ascii="仿宋_GB2312" w:hAnsi="仿宋_GB2312" w:eastAsia="仿宋_GB2312" w:cs="仿宋_GB2312"/>
          <w:color w:val="000000"/>
          <w:kern w:val="0"/>
          <w:sz w:val="32"/>
          <w:szCs w:val="32"/>
          <w:u w:val="none" w:color="auto"/>
        </w:rPr>
        <w:t>、电费</w:t>
      </w:r>
      <w:r>
        <w:rPr>
          <w:rFonts w:hint="eastAsia" w:ascii="仿宋_GB2312" w:hAnsi="仿宋_GB2312" w:eastAsia="仿宋_GB2312" w:cs="仿宋_GB2312"/>
          <w:color w:val="000000"/>
          <w:kern w:val="0"/>
          <w:sz w:val="32"/>
          <w:szCs w:val="32"/>
          <w:u w:val="none" w:color="auto"/>
          <w:lang w:val="en-US" w:eastAsia="zh-CN"/>
        </w:rPr>
        <w:t>0.81万元</w:t>
      </w:r>
      <w:r>
        <w:rPr>
          <w:rFonts w:hint="eastAsia" w:ascii="仿宋_GB2312" w:hAnsi="仿宋_GB2312" w:eastAsia="仿宋_GB2312" w:cs="仿宋_GB2312"/>
          <w:color w:val="000000"/>
          <w:kern w:val="0"/>
          <w:sz w:val="32"/>
          <w:szCs w:val="32"/>
          <w:u w:val="none" w:color="auto"/>
        </w:rPr>
        <w:t>、邮电费</w:t>
      </w:r>
      <w:r>
        <w:rPr>
          <w:rFonts w:hint="eastAsia" w:ascii="仿宋_GB2312" w:hAnsi="仿宋_GB2312" w:eastAsia="仿宋_GB2312" w:cs="仿宋_GB2312"/>
          <w:color w:val="000000"/>
          <w:kern w:val="0"/>
          <w:sz w:val="32"/>
          <w:szCs w:val="32"/>
          <w:u w:val="none" w:color="auto"/>
          <w:lang w:val="en-US" w:eastAsia="zh-CN"/>
        </w:rPr>
        <w:t>18.33万元</w:t>
      </w:r>
      <w:r>
        <w:rPr>
          <w:rFonts w:hint="eastAsia" w:ascii="仿宋_GB2312" w:hAnsi="仿宋_GB2312" w:eastAsia="仿宋_GB2312" w:cs="仿宋_GB2312"/>
          <w:color w:val="000000"/>
          <w:kern w:val="0"/>
          <w:sz w:val="32"/>
          <w:szCs w:val="32"/>
          <w:u w:val="none" w:color="auto"/>
        </w:rPr>
        <w:t>、取暖费</w:t>
      </w:r>
      <w:r>
        <w:rPr>
          <w:rFonts w:hint="eastAsia" w:ascii="仿宋_GB2312" w:hAnsi="仿宋_GB2312" w:eastAsia="仿宋_GB2312" w:cs="仿宋_GB2312"/>
          <w:color w:val="000000"/>
          <w:kern w:val="0"/>
          <w:sz w:val="32"/>
          <w:szCs w:val="32"/>
          <w:u w:val="none" w:color="auto"/>
          <w:lang w:val="en-US" w:eastAsia="zh-CN"/>
        </w:rPr>
        <w:t>0.72万元</w:t>
      </w:r>
      <w:r>
        <w:rPr>
          <w:rFonts w:hint="eastAsia" w:ascii="仿宋_GB2312" w:hAnsi="仿宋_GB2312" w:eastAsia="仿宋_GB2312" w:cs="仿宋_GB2312"/>
          <w:color w:val="000000"/>
          <w:kern w:val="0"/>
          <w:sz w:val="32"/>
          <w:szCs w:val="32"/>
          <w:u w:val="none" w:color="auto"/>
        </w:rPr>
        <w:t>、物业管理费</w:t>
      </w:r>
      <w:r>
        <w:rPr>
          <w:rFonts w:hint="eastAsia" w:ascii="仿宋_GB2312" w:hAnsi="仿宋_GB2312" w:eastAsia="仿宋_GB2312" w:cs="仿宋_GB2312"/>
          <w:color w:val="000000"/>
          <w:kern w:val="0"/>
          <w:sz w:val="32"/>
          <w:szCs w:val="32"/>
          <w:u w:val="none" w:color="auto"/>
          <w:lang w:val="en-US" w:eastAsia="zh-CN"/>
        </w:rPr>
        <w:t>72.45万元</w:t>
      </w:r>
      <w:r>
        <w:rPr>
          <w:rFonts w:hint="eastAsia" w:ascii="仿宋_GB2312" w:hAnsi="仿宋_GB2312" w:eastAsia="仿宋_GB2312" w:cs="仿宋_GB2312"/>
          <w:color w:val="000000"/>
          <w:kern w:val="0"/>
          <w:sz w:val="32"/>
          <w:szCs w:val="32"/>
          <w:u w:val="none" w:color="auto"/>
        </w:rPr>
        <w:t>、差旅费</w:t>
      </w:r>
      <w:r>
        <w:rPr>
          <w:rFonts w:hint="eastAsia" w:ascii="仿宋_GB2312" w:hAnsi="仿宋_GB2312" w:eastAsia="仿宋_GB2312" w:cs="仿宋_GB2312"/>
          <w:color w:val="000000"/>
          <w:kern w:val="0"/>
          <w:sz w:val="32"/>
          <w:szCs w:val="32"/>
          <w:u w:val="none" w:color="auto"/>
          <w:lang w:val="en-US" w:eastAsia="zh-CN"/>
        </w:rPr>
        <w:t>0.78万元</w:t>
      </w:r>
      <w:r>
        <w:rPr>
          <w:rFonts w:hint="eastAsia" w:ascii="仿宋_GB2312" w:hAnsi="仿宋_GB2312" w:eastAsia="仿宋_GB2312" w:cs="仿宋_GB2312"/>
          <w:color w:val="000000"/>
          <w:kern w:val="0"/>
          <w:sz w:val="32"/>
          <w:szCs w:val="32"/>
          <w:u w:val="none" w:color="auto"/>
        </w:rPr>
        <w:t>、维修（护）费</w:t>
      </w:r>
      <w:r>
        <w:rPr>
          <w:rFonts w:hint="eastAsia" w:ascii="仿宋_GB2312" w:hAnsi="仿宋_GB2312" w:eastAsia="仿宋_GB2312" w:cs="仿宋_GB2312"/>
          <w:color w:val="000000"/>
          <w:kern w:val="0"/>
          <w:sz w:val="32"/>
          <w:szCs w:val="32"/>
          <w:u w:val="none" w:color="auto"/>
          <w:lang w:val="en-US" w:eastAsia="zh-CN"/>
        </w:rPr>
        <w:t>120.26万元</w:t>
      </w:r>
      <w:r>
        <w:rPr>
          <w:rFonts w:hint="eastAsia" w:ascii="仿宋_GB2312" w:hAnsi="仿宋_GB2312" w:eastAsia="仿宋_GB2312" w:cs="仿宋_GB2312"/>
          <w:color w:val="000000"/>
          <w:kern w:val="0"/>
          <w:sz w:val="32"/>
          <w:szCs w:val="32"/>
          <w:u w:val="none" w:color="auto"/>
        </w:rPr>
        <w:t>、劳务费</w:t>
      </w:r>
      <w:r>
        <w:rPr>
          <w:rFonts w:hint="eastAsia" w:ascii="仿宋_GB2312" w:hAnsi="仿宋_GB2312" w:eastAsia="仿宋_GB2312" w:cs="仿宋_GB2312"/>
          <w:color w:val="000000"/>
          <w:kern w:val="0"/>
          <w:sz w:val="32"/>
          <w:szCs w:val="32"/>
          <w:u w:val="none" w:color="auto"/>
          <w:lang w:val="en-US" w:eastAsia="zh-CN"/>
        </w:rPr>
        <w:t>12.59万元</w:t>
      </w:r>
      <w:r>
        <w:rPr>
          <w:rFonts w:hint="eastAsia" w:ascii="仿宋_GB2312" w:hAnsi="仿宋_GB2312" w:eastAsia="仿宋_GB2312" w:cs="仿宋_GB2312"/>
          <w:color w:val="000000"/>
          <w:kern w:val="0"/>
          <w:sz w:val="32"/>
          <w:szCs w:val="32"/>
          <w:u w:val="none" w:color="auto"/>
        </w:rPr>
        <w:t>、委托业务费</w:t>
      </w:r>
      <w:r>
        <w:rPr>
          <w:rFonts w:hint="eastAsia" w:ascii="仿宋_GB2312" w:hAnsi="仿宋_GB2312" w:eastAsia="仿宋_GB2312" w:cs="仿宋_GB2312"/>
          <w:color w:val="000000"/>
          <w:kern w:val="0"/>
          <w:sz w:val="32"/>
          <w:szCs w:val="32"/>
          <w:u w:val="none" w:color="auto"/>
          <w:lang w:val="en-US" w:eastAsia="zh-CN"/>
        </w:rPr>
        <w:t>295.8万元</w:t>
      </w:r>
      <w:r>
        <w:rPr>
          <w:rFonts w:hint="eastAsia" w:ascii="仿宋_GB2312" w:hAnsi="仿宋_GB2312" w:eastAsia="仿宋_GB2312" w:cs="仿宋_GB2312"/>
          <w:color w:val="000000"/>
          <w:kern w:val="0"/>
          <w:sz w:val="32"/>
          <w:szCs w:val="32"/>
          <w:u w:val="none" w:color="auto"/>
        </w:rPr>
        <w:t>、工会经费</w:t>
      </w:r>
      <w:r>
        <w:rPr>
          <w:rFonts w:hint="eastAsia" w:ascii="仿宋_GB2312" w:hAnsi="仿宋_GB2312" w:eastAsia="仿宋_GB2312" w:cs="仿宋_GB2312"/>
          <w:color w:val="000000"/>
          <w:kern w:val="0"/>
          <w:sz w:val="32"/>
          <w:szCs w:val="32"/>
          <w:u w:val="none" w:color="auto"/>
          <w:lang w:val="en-US" w:eastAsia="zh-CN"/>
        </w:rPr>
        <w:t>0.57万元</w:t>
      </w:r>
      <w:r>
        <w:rPr>
          <w:rFonts w:hint="eastAsia" w:ascii="仿宋_GB2312" w:hAnsi="仿宋_GB2312" w:eastAsia="仿宋_GB2312" w:cs="仿宋_GB2312"/>
          <w:color w:val="000000"/>
          <w:kern w:val="0"/>
          <w:sz w:val="32"/>
          <w:szCs w:val="32"/>
          <w:u w:val="none" w:color="auto"/>
        </w:rPr>
        <w:t>、福利费</w:t>
      </w:r>
      <w:r>
        <w:rPr>
          <w:rFonts w:hint="eastAsia" w:ascii="仿宋_GB2312" w:hAnsi="仿宋_GB2312" w:eastAsia="仿宋_GB2312" w:cs="仿宋_GB2312"/>
          <w:color w:val="000000"/>
          <w:kern w:val="0"/>
          <w:sz w:val="32"/>
          <w:szCs w:val="32"/>
          <w:u w:val="none" w:color="auto"/>
          <w:lang w:val="en-US" w:eastAsia="zh-CN"/>
        </w:rPr>
        <w:t>0.7万元</w:t>
      </w:r>
      <w:r>
        <w:rPr>
          <w:rFonts w:hint="eastAsia" w:ascii="仿宋_GB2312" w:hAnsi="仿宋_GB2312" w:eastAsia="仿宋_GB2312" w:cs="仿宋_GB2312"/>
          <w:color w:val="000000"/>
          <w:kern w:val="0"/>
          <w:sz w:val="32"/>
          <w:szCs w:val="32"/>
          <w:u w:val="none" w:color="auto"/>
        </w:rPr>
        <w:t>、公务用车运行维护费</w:t>
      </w:r>
      <w:r>
        <w:rPr>
          <w:rFonts w:hint="eastAsia" w:ascii="仿宋_GB2312" w:hAnsi="仿宋_GB2312" w:eastAsia="仿宋_GB2312" w:cs="仿宋_GB2312"/>
          <w:color w:val="000000"/>
          <w:kern w:val="0"/>
          <w:sz w:val="32"/>
          <w:szCs w:val="32"/>
          <w:u w:val="none" w:color="auto"/>
          <w:lang w:val="en-US" w:eastAsia="zh-CN"/>
        </w:rPr>
        <w:t>1.21万元</w:t>
      </w:r>
      <w:r>
        <w:rPr>
          <w:rFonts w:hint="eastAsia" w:ascii="仿宋_GB2312" w:hAnsi="仿宋_GB2312" w:eastAsia="仿宋_GB2312" w:cs="仿宋_GB2312"/>
          <w:color w:val="000000"/>
          <w:kern w:val="0"/>
          <w:sz w:val="32"/>
          <w:szCs w:val="32"/>
          <w:u w:val="none" w:color="auto"/>
        </w:rPr>
        <w:t>、其他交通费用</w:t>
      </w:r>
      <w:r>
        <w:rPr>
          <w:rFonts w:hint="eastAsia" w:ascii="仿宋_GB2312" w:hAnsi="仿宋_GB2312" w:eastAsia="仿宋_GB2312" w:cs="仿宋_GB2312"/>
          <w:color w:val="000000"/>
          <w:kern w:val="0"/>
          <w:sz w:val="32"/>
          <w:szCs w:val="32"/>
          <w:u w:val="none" w:color="auto"/>
          <w:lang w:val="en-US" w:eastAsia="zh-CN"/>
        </w:rPr>
        <w:t>3.24万元</w:t>
      </w:r>
      <w:r>
        <w:rPr>
          <w:rFonts w:hint="eastAsia" w:ascii="仿宋_GB2312" w:hAnsi="仿宋_GB2312" w:eastAsia="仿宋_GB2312" w:cs="仿宋_GB2312"/>
          <w:color w:val="000000"/>
          <w:kern w:val="0"/>
          <w:sz w:val="32"/>
          <w:szCs w:val="32"/>
          <w:u w:val="none" w:color="auto"/>
        </w:rPr>
        <w:t>、办公设备购置</w:t>
      </w:r>
      <w:r>
        <w:rPr>
          <w:rFonts w:hint="eastAsia" w:ascii="仿宋_GB2312" w:hAnsi="仿宋_GB2312" w:eastAsia="仿宋_GB2312" w:cs="仿宋_GB2312"/>
          <w:color w:val="000000"/>
          <w:kern w:val="0"/>
          <w:sz w:val="32"/>
          <w:szCs w:val="32"/>
          <w:u w:val="none" w:color="auto"/>
          <w:lang w:val="en-US" w:eastAsia="zh-CN"/>
        </w:rPr>
        <w:t>7.91万元</w:t>
      </w:r>
      <w:r>
        <w:rPr>
          <w:rFonts w:hint="eastAsia" w:ascii="仿宋_GB2312" w:hAnsi="仿宋_GB2312" w:eastAsia="仿宋_GB2312" w:cs="仿宋_GB2312"/>
          <w:color w:val="000000"/>
          <w:kern w:val="0"/>
          <w:sz w:val="32"/>
          <w:szCs w:val="32"/>
          <w:u w:val="none" w:color="auto"/>
        </w:rPr>
        <w:t>、信息网络及软件购置更新</w:t>
      </w:r>
      <w:r>
        <w:rPr>
          <w:rFonts w:hint="eastAsia" w:ascii="仿宋_GB2312" w:hAnsi="仿宋_GB2312" w:eastAsia="仿宋_GB2312" w:cs="仿宋_GB2312"/>
          <w:color w:val="000000"/>
          <w:kern w:val="0"/>
          <w:sz w:val="32"/>
          <w:szCs w:val="32"/>
          <w:u w:val="none" w:color="auto"/>
          <w:lang w:val="en-US" w:eastAsia="zh-CN"/>
        </w:rPr>
        <w:t>0.28万元</w:t>
      </w:r>
      <w:r>
        <w:rPr>
          <w:rFonts w:hint="eastAsia" w:ascii="仿宋_GB2312" w:hAnsi="仿宋_GB2312" w:eastAsia="仿宋_GB2312" w:cs="仿宋_GB2312"/>
          <w:color w:val="000000"/>
          <w:kern w:val="0"/>
          <w:sz w:val="32"/>
          <w:szCs w:val="32"/>
          <w:u w:val="none" w:color="auto"/>
        </w:rPr>
        <w:t>。</w:t>
      </w:r>
    </w:p>
    <w:p w14:paraId="27A66D04">
      <w:pPr>
        <w:widowControl/>
        <w:spacing w:before="240" w:after="240"/>
        <w:rPr>
          <w:rFonts w:ascii="Times New Roman" w:hAnsi="Times New Roman" w:eastAsia="Times New Roman" w:cs="Times New Roman"/>
          <w:kern w:val="0"/>
          <w:sz w:val="32"/>
          <w:szCs w:val="32"/>
        </w:rPr>
      </w:pPr>
      <w:r>
        <w:rPr>
          <w:rFonts w:ascii="仿宋_GB2312" w:hAnsi="仿宋_GB2312" w:eastAsia="仿宋_GB2312" w:cs="仿宋_GB2312"/>
          <w:color w:val="0E00FE"/>
          <w:kern w:val="0"/>
          <w:sz w:val="32"/>
          <w:szCs w:val="32"/>
        </w:rPr>
        <w:t xml:space="preserve">  </w:t>
      </w:r>
      <w:r>
        <w:rPr>
          <w:rFonts w:hint="eastAsia" w:ascii="仿宋_GB2312" w:hAnsi="仿宋_GB2312" w:eastAsia="仿宋_GB2312" w:cs="仿宋_GB2312"/>
          <w:color w:val="0E00FE"/>
          <w:kern w:val="0"/>
          <w:sz w:val="32"/>
          <w:szCs w:val="32"/>
          <w:lang w:val="en-US" w:eastAsia="zh-CN"/>
        </w:rPr>
        <w:t xml:space="preserve"> </w:t>
      </w:r>
      <w:r>
        <w:rPr>
          <w:rFonts w:ascii="黑体" w:hAnsi="黑体" w:eastAsia="黑体" w:cs="黑体"/>
          <w:b/>
          <w:bCs/>
          <w:kern w:val="0"/>
          <w:sz w:val="32"/>
          <w:szCs w:val="32"/>
        </w:rPr>
        <w:t xml:space="preserve"> 七、一般公共预算财政拨款项目支出决算情况说明</w:t>
      </w:r>
    </w:p>
    <w:p w14:paraId="0501D2BD">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2024年度一般公共预算财政拨款项目支出决算 0万元，其中：</w:t>
      </w:r>
    </w:p>
    <w:p w14:paraId="153C8669">
      <w:pPr>
        <w:widowControl/>
        <w:numPr>
          <w:ilvl w:val="0"/>
          <w:numId w:val="2"/>
        </w:numPr>
        <w:spacing w:before="240" w:after="240"/>
        <w:ind w:left="446" w:leftChars="0" w:firstLine="0" w:firstLineChars="0"/>
        <w:rPr>
          <w:rFonts w:hint="eastAsia" w:ascii="仿宋_GB2312" w:hAnsi="仿宋_GB2312" w:eastAsia="仿宋_GB2312" w:cs="仿宋_GB2312"/>
          <w:color w:val="000000"/>
          <w:kern w:val="0"/>
          <w:sz w:val="32"/>
          <w:szCs w:val="32"/>
          <w:u w:val="none" w:color="auto"/>
        </w:rPr>
      </w:pPr>
      <w:r>
        <w:rPr>
          <w:rFonts w:hint="eastAsia" w:ascii="仿宋_GB2312" w:hAnsi="仿宋_GB2312" w:eastAsia="仿宋_GB2312" w:cs="仿宋_GB2312"/>
          <w:b/>
          <w:bCs/>
          <w:color w:val="000000"/>
          <w:kern w:val="0"/>
          <w:sz w:val="32"/>
          <w:szCs w:val="32"/>
          <w:u w:val="none" w:color="auto"/>
        </w:rPr>
        <w:t> </w:t>
      </w:r>
      <w:r>
        <w:rPr>
          <w:rFonts w:hint="eastAsia" w:ascii="仿宋_GB2312" w:hAnsi="仿宋_GB2312" w:eastAsia="仿宋_GB2312" w:cs="仿宋_GB2312"/>
          <w:b/>
          <w:bCs/>
          <w:color w:val="000000"/>
          <w:kern w:val="0"/>
          <w:sz w:val="32"/>
          <w:szCs w:val="32"/>
          <w:u w:val="none" w:color="auto"/>
        </w:rPr>
        <w:t>工资福利支出</w:t>
      </w:r>
      <w:r>
        <w:rPr>
          <w:rFonts w:hint="eastAsia" w:ascii="仿宋_GB2312" w:hAnsi="仿宋_GB2312" w:eastAsia="仿宋_GB2312" w:cs="仿宋_GB2312"/>
          <w:color w:val="000000"/>
          <w:kern w:val="0"/>
          <w:sz w:val="32"/>
          <w:szCs w:val="32"/>
          <w:u w:val="none" w:color="auto"/>
        </w:rPr>
        <w:t xml:space="preserve"> </w:t>
      </w:r>
      <w:r>
        <w:rPr>
          <w:rFonts w:hint="eastAsia" w:ascii="仿宋_GB2312" w:hAnsi="仿宋_GB2312" w:eastAsia="仿宋_GB2312" w:cs="仿宋_GB2312"/>
          <w:b/>
          <w:bCs/>
          <w:color w:val="000000"/>
          <w:kern w:val="0"/>
          <w:sz w:val="32"/>
          <w:szCs w:val="32"/>
          <w:u w:val="none" w:color="auto"/>
        </w:rPr>
        <w:t>0</w:t>
      </w:r>
      <w:r>
        <w:rPr>
          <w:rFonts w:hint="eastAsia" w:ascii="仿宋_GB2312" w:hAnsi="仿宋_GB2312" w:eastAsia="仿宋_GB2312" w:cs="仿宋_GB2312"/>
          <w:color w:val="000000"/>
          <w:kern w:val="0"/>
          <w:sz w:val="32"/>
          <w:szCs w:val="32"/>
          <w:u w:val="none" w:color="auto"/>
        </w:rPr>
        <w:t>万元。</w:t>
      </w:r>
      <w:r>
        <w:rPr>
          <w:rFonts w:hint="eastAsia" w:ascii="仿宋_GB2312" w:hAnsi="仿宋_GB2312" w:eastAsia="仿宋_GB2312" w:cs="仿宋_GB2312"/>
          <w:color w:val="000000"/>
          <w:kern w:val="0"/>
          <w:sz w:val="32"/>
          <w:szCs w:val="32"/>
          <w:u w:val="none" w:color="auto"/>
          <w:lang w:val="en-US" w:eastAsia="zh-CN"/>
        </w:rPr>
        <w:t>不存在此项内容。</w:t>
      </w:r>
    </w:p>
    <w:p w14:paraId="71098396">
      <w:pPr>
        <w:widowControl/>
        <w:numPr>
          <w:ilvl w:val="0"/>
          <w:numId w:val="0"/>
        </w:numPr>
        <w:spacing w:before="240" w:after="240"/>
        <w:ind w:left="446" w:leftChars="0"/>
        <w:rPr>
          <w:rFonts w:ascii="Times New Roman" w:hAnsi="Times New Roman" w:eastAsia="Times New Roman" w:cs="Times New Roman"/>
          <w:kern w:val="0"/>
          <w:sz w:val="32"/>
          <w:szCs w:val="32"/>
        </w:rPr>
      </w:pPr>
      <w:r>
        <w:rPr>
          <w:rFonts w:ascii="仿宋_GB2312" w:hAnsi="仿宋_GB2312" w:eastAsia="仿宋_GB2312" w:cs="仿宋_GB2312"/>
          <w:b/>
          <w:bCs/>
          <w:color w:val="000000"/>
          <w:kern w:val="0"/>
          <w:sz w:val="32"/>
          <w:szCs w:val="32"/>
        </w:rPr>
        <w:t> </w:t>
      </w:r>
      <w:r>
        <w:rPr>
          <w:rFonts w:ascii="仿宋_GB2312" w:hAnsi="仿宋_GB2312" w:eastAsia="仿宋_GB2312" w:cs="仿宋_GB2312"/>
          <w:b/>
          <w:bCs/>
          <w:color w:val="000000"/>
          <w:kern w:val="0"/>
          <w:sz w:val="32"/>
          <w:szCs w:val="32"/>
          <w:u w:val="none" w:color="auto"/>
        </w:rPr>
        <w:t>（二）商品和服务支出</w:t>
      </w:r>
      <w:r>
        <w:rPr>
          <w:rFonts w:eastAsia="Times New Roman"/>
          <w:b/>
          <w:bCs/>
          <w:color w:val="000000"/>
          <w:kern w:val="0"/>
          <w:sz w:val="32"/>
          <w:szCs w:val="32"/>
          <w:u w:val="none" w:color="auto"/>
        </w:rPr>
        <w:t xml:space="preserve"> 0</w:t>
      </w:r>
      <w:r>
        <w:rPr>
          <w:rFonts w:ascii="仿宋_GB2312" w:hAnsi="仿宋_GB2312" w:eastAsia="仿宋_GB2312" w:cs="仿宋_GB2312"/>
          <w:color w:val="000000"/>
          <w:kern w:val="0"/>
          <w:sz w:val="32"/>
          <w:szCs w:val="32"/>
          <w:u w:val="none" w:color="auto"/>
        </w:rPr>
        <w:t>万元</w:t>
      </w:r>
      <w:r>
        <w:rPr>
          <w:rFonts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none" w:color="auto"/>
          <w:lang w:val="en-US" w:eastAsia="zh-CN"/>
        </w:rPr>
        <w:t>不存在此项内容。</w:t>
      </w:r>
    </w:p>
    <w:p w14:paraId="7F8E8B03">
      <w:pPr>
        <w:widowControl/>
        <w:spacing w:before="240" w:after="240"/>
        <w:rPr>
          <w:rFonts w:ascii="Times New Roman" w:hAnsi="Times New Roman" w:eastAsia="Times New Roman" w:cs="Times New Roman"/>
          <w:kern w:val="0"/>
          <w:sz w:val="32"/>
          <w:szCs w:val="32"/>
        </w:rPr>
      </w:pPr>
      <w:r>
        <w:rPr>
          <w:rFonts w:ascii="仿宋_GB2312" w:hAnsi="仿宋_GB2312" w:eastAsia="仿宋_GB2312" w:cs="仿宋_GB2312"/>
          <w:b/>
          <w:bCs/>
          <w:color w:val="000000"/>
          <w:kern w:val="0"/>
          <w:sz w:val="32"/>
          <w:szCs w:val="32"/>
        </w:rPr>
        <w:t>   </w:t>
      </w:r>
      <w:r>
        <w:rPr>
          <w:rFonts w:ascii="仿宋_GB2312" w:hAnsi="仿宋_GB2312" w:eastAsia="仿宋_GB2312" w:cs="仿宋_GB2312"/>
          <w:b/>
          <w:bCs/>
          <w:color w:val="000000"/>
          <w:kern w:val="0"/>
          <w:sz w:val="32"/>
          <w:szCs w:val="32"/>
          <w:u w:val="none" w:color="auto"/>
        </w:rPr>
        <w:t xml:space="preserve"> （三）资本性支出</w:t>
      </w:r>
      <w:r>
        <w:rPr>
          <w:rFonts w:eastAsia="Times New Roman"/>
          <w:b/>
          <w:bCs/>
          <w:color w:val="000000"/>
          <w:kern w:val="0"/>
          <w:sz w:val="32"/>
          <w:szCs w:val="32"/>
          <w:u w:val="none" w:color="auto"/>
        </w:rPr>
        <w:t xml:space="preserve"> 0</w:t>
      </w:r>
      <w:r>
        <w:rPr>
          <w:rFonts w:ascii="仿宋_GB2312" w:hAnsi="仿宋_GB2312" w:eastAsia="仿宋_GB2312" w:cs="仿宋_GB2312"/>
          <w:b/>
          <w:bCs/>
          <w:color w:val="000000"/>
          <w:kern w:val="0"/>
          <w:sz w:val="32"/>
          <w:szCs w:val="32"/>
          <w:u w:val="none" w:color="auto"/>
        </w:rPr>
        <w:t>万元。</w:t>
      </w:r>
      <w:r>
        <w:rPr>
          <w:rFonts w:hint="eastAsia" w:ascii="仿宋_GB2312" w:hAnsi="仿宋_GB2312" w:eastAsia="仿宋_GB2312" w:cs="仿宋_GB2312"/>
          <w:color w:val="000000"/>
          <w:kern w:val="0"/>
          <w:sz w:val="32"/>
          <w:szCs w:val="32"/>
          <w:u w:val="none" w:color="auto"/>
          <w:lang w:val="en-US" w:eastAsia="zh-CN"/>
        </w:rPr>
        <w:t>不存在此项内容。</w:t>
      </w:r>
      <w:r>
        <w:rPr>
          <w:rFonts w:ascii="仿宋_GB2312" w:hAnsi="仿宋_GB2312" w:eastAsia="仿宋_GB2312" w:cs="仿宋_GB2312"/>
          <w:kern w:val="0"/>
          <w:sz w:val="32"/>
          <w:szCs w:val="32"/>
        </w:rPr>
        <w:t xml:space="preserve">    </w:t>
      </w:r>
    </w:p>
    <w:p w14:paraId="5B7DC392">
      <w:pPr>
        <w:widowControl/>
        <w:spacing w:before="240" w:after="240"/>
        <w:ind w:firstLine="321" w:firstLineChars="100"/>
        <w:rPr>
          <w:rFonts w:ascii="Times New Roman" w:hAnsi="Times New Roman" w:eastAsia="Times New Roman" w:cs="Times New Roman"/>
          <w:kern w:val="0"/>
          <w:sz w:val="32"/>
          <w:szCs w:val="32"/>
        </w:rPr>
      </w:pPr>
      <w:r>
        <w:rPr>
          <w:rFonts w:ascii="黑体" w:hAnsi="黑体" w:eastAsia="黑体" w:cs="黑体"/>
          <w:b/>
          <w:bCs/>
          <w:kern w:val="0"/>
          <w:sz w:val="32"/>
          <w:szCs w:val="32"/>
        </w:rPr>
        <w:t xml:space="preserve"> 八、财政拨款“三公”经费支出决算情况说明</w:t>
      </w:r>
    </w:p>
    <w:p w14:paraId="56B1BA36">
      <w:pPr>
        <w:widowControl/>
        <w:spacing w:before="240" w:after="240"/>
        <w:rPr>
          <w:rFonts w:ascii="Times New Roman" w:hAnsi="Times New Roman" w:eastAsia="Times New Roman" w:cs="Times New Roman"/>
          <w:kern w:val="0"/>
          <w:sz w:val="32"/>
          <w:szCs w:val="32"/>
        </w:rPr>
      </w:pPr>
      <w:r>
        <w:rPr>
          <w:rFonts w:ascii="仿宋_GB2312" w:hAnsi="仿宋_GB2312" w:eastAsia="仿宋_GB2312" w:cs="仿宋_GB2312"/>
          <w:color w:val="0E00FE"/>
          <w:kern w:val="0"/>
          <w:sz w:val="32"/>
          <w:szCs w:val="32"/>
        </w:rPr>
        <w:t xml:space="preserve">    </w:t>
      </w:r>
    </w:p>
    <w:p w14:paraId="551D30E7">
      <w:pPr>
        <w:widowControl/>
        <w:spacing w:before="240" w:after="240"/>
        <w:jc w:val="left"/>
        <w:rPr>
          <w:rFonts w:ascii="Times New Roman" w:hAnsi="Times New Roman" w:eastAsia="Times New Roman" w:cs="Times New Roman"/>
          <w:kern w:val="0"/>
          <w:sz w:val="32"/>
          <w:szCs w:val="32"/>
        </w:rPr>
      </w:pPr>
      <w:r>
        <w:rPr>
          <w:rFonts w:ascii="kai_ti_gb2312" w:hAnsi="kai_ti_gb2312" w:eastAsia="kai_ti_gb2312" w:cs="kai_ti_gb2312"/>
          <w:b/>
          <w:bCs/>
          <w:kern w:val="0"/>
          <w:sz w:val="32"/>
          <w:szCs w:val="32"/>
        </w:rPr>
        <w:t xml:space="preserve">    </w:t>
      </w:r>
      <w:r>
        <w:rPr>
          <w:rFonts w:ascii="kai_ti_gb2312" w:hAnsi="kai_ti_gb2312" w:eastAsia="kai_ti_gb2312" w:cs="kai_ti_gb2312"/>
          <w:b/>
          <w:bCs/>
          <w:kern w:val="0"/>
          <w:sz w:val="32"/>
          <w:szCs w:val="32"/>
        </w:rPr>
        <w:t>（一）财政拨款“三公”经费支出总体情况说明。</w:t>
      </w:r>
    </w:p>
    <w:p w14:paraId="4EB6AD35">
      <w:pPr>
        <w:widowControl/>
        <w:spacing w:before="240" w:after="24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color w:val="000000"/>
          <w:kern w:val="0"/>
          <w:sz w:val="32"/>
          <w:szCs w:val="32"/>
        </w:rPr>
        <w:t>鄂</w:t>
      </w:r>
      <w:r>
        <w:rPr>
          <w:rFonts w:hint="eastAsia" w:ascii="仿宋_GB2312" w:hAnsi="仿宋_GB2312" w:eastAsia="仿宋_GB2312" w:cs="仿宋_GB2312"/>
          <w:color w:val="000000"/>
          <w:kern w:val="0"/>
          <w:sz w:val="32"/>
          <w:szCs w:val="32"/>
          <w:u w:val="none" w:color="auto"/>
        </w:rPr>
        <w:t>温克族自治旗政务服务与数据管理局部门 2024年度财政拨款“三公”经费全年预算 2.50万元，支出决算 1.21万元，完成预算的 48.29%。其中：因公出国（境）费全年预算 0万元，支出决算 0万元，完成预算的 0%；公务用车购置及运行维护费全年预算 2.50万元，支出决算 1.21万元，完成预算的 48.29%；公务接待费全年预算 0万元，支出决算 0万元，完成预算的 0%。2024年度一般公共预算财政拨款“三公”经费全年预算 2.50万元，支出决算 1.21万元，与预算差异原因</w:t>
      </w:r>
      <w:r>
        <w:rPr>
          <w:rFonts w:hint="eastAsia" w:ascii="仿宋_GB2312" w:hAnsi="仿宋_GB2312" w:eastAsia="仿宋_GB2312" w:cs="仿宋_GB2312"/>
          <w:color w:val="000000"/>
          <w:kern w:val="0"/>
          <w:sz w:val="32"/>
          <w:szCs w:val="32"/>
          <w:lang w:val="en-US" w:eastAsia="zh-CN"/>
        </w:rPr>
        <w:t>本年度支出公车运行维护费1.21万元</w:t>
      </w:r>
      <w:r>
        <w:rPr>
          <w:rFonts w:hint="eastAsia" w:ascii="仿宋_GB2312" w:hAnsi="仿宋_GB2312" w:eastAsia="仿宋_GB2312" w:cs="仿宋_GB2312"/>
          <w:color w:val="000000"/>
          <w:kern w:val="0"/>
          <w:sz w:val="32"/>
          <w:szCs w:val="32"/>
        </w:rPr>
        <w:t>。</w:t>
      </w:r>
    </w:p>
    <w:p w14:paraId="300F51C5">
      <w:pPr>
        <w:widowControl/>
        <w:spacing w:before="240" w:after="240"/>
        <w:ind w:firstLine="320" w:firstLineChars="100"/>
        <w:jc w:val="left"/>
        <w:rPr>
          <w:rFonts w:ascii="Times New Roman" w:hAnsi="Times New Roman" w:eastAsia="Times New Roman" w:cs="Times New Roman"/>
          <w:kern w:val="0"/>
          <w:sz w:val="32"/>
          <w:szCs w:val="32"/>
        </w:rPr>
      </w:pPr>
      <w:r>
        <w:rPr>
          <w:rFonts w:ascii="kai_ti_gb2312" w:hAnsi="kai_ti_gb2312" w:eastAsia="kai_ti_gb2312" w:cs="kai_ti_gb2312"/>
          <w:b/>
          <w:bCs/>
          <w:kern w:val="0"/>
          <w:sz w:val="32"/>
          <w:szCs w:val="32"/>
        </w:rPr>
        <w:t>（二）财政拨款“三公”经费支出具体情况说明。</w:t>
      </w:r>
    </w:p>
    <w:p w14:paraId="771D3760">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kern w:val="0"/>
          <w:sz w:val="32"/>
          <w:szCs w:val="32"/>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2024年度财政拨款“三公”经费支出 1.21万元。因公出国（境）费支出 0万元，占 0%；公务用车购置及运行维护费支出 1.21万元，占 100.00%；公务接待费支出 0万元，占 0%。其中：</w:t>
      </w:r>
    </w:p>
    <w:p w14:paraId="2B06459D">
      <w:pPr>
        <w:widowControl/>
        <w:numPr>
          <w:ilvl w:val="0"/>
          <w:numId w:val="3"/>
        </w:numPr>
        <w:spacing w:before="240" w:after="240"/>
        <w:ind w:left="426" w:leftChars="0" w:firstLine="0" w:firstLineChars="0"/>
        <w:rPr>
          <w:rFonts w:hint="eastAsia" w:ascii="仿宋_GB2312" w:hAnsi="仿宋_GB2312" w:eastAsia="仿宋_GB2312" w:cs="仿宋_GB2312"/>
          <w:color w:val="000000"/>
          <w:kern w:val="0"/>
          <w:sz w:val="32"/>
          <w:szCs w:val="32"/>
          <w:u w:val="none" w:color="auto"/>
          <w:lang w:val="en-US" w:eastAsia="zh-CN"/>
        </w:rPr>
      </w:pPr>
      <w:r>
        <w:rPr>
          <w:rFonts w:hint="eastAsia" w:ascii="仿宋_GB2312" w:hAnsi="仿宋_GB2312" w:eastAsia="仿宋_GB2312" w:cs="仿宋_GB2312"/>
          <w:color w:val="000000"/>
          <w:kern w:val="0"/>
          <w:sz w:val="32"/>
          <w:szCs w:val="32"/>
          <w:u w:val="none" w:color="auto"/>
        </w:rPr>
        <w:t>因公出国（境）费支出 0万元，全年出国（境）团组0 个，累计0 人次。与上年决算相</w:t>
      </w:r>
      <w:r>
        <w:rPr>
          <w:rFonts w:hint="eastAsia" w:ascii="仿宋_GB2312" w:hAnsi="仿宋_GB2312" w:eastAsia="仿宋_GB2312" w:cs="仿宋_GB2312"/>
          <w:color w:val="000000"/>
          <w:kern w:val="0"/>
          <w:sz w:val="32"/>
          <w:szCs w:val="32"/>
          <w:u w:val="none" w:color="auto"/>
          <w:lang w:val="en-US" w:eastAsia="zh-CN"/>
        </w:rPr>
        <w:t>同。</w:t>
      </w:r>
    </w:p>
    <w:p w14:paraId="16F1F0D8">
      <w:pPr>
        <w:widowControl/>
        <w:numPr>
          <w:numId w:val="0"/>
        </w:numPr>
        <w:spacing w:before="240" w:after="240"/>
        <w:ind w:left="426" w:leftChars="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2.公务用车购置及运行维护费支出 1.21万元。其中：</w:t>
      </w:r>
    </w:p>
    <w:p w14:paraId="59E8FF84">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（1）公务用车购置支出 0万元。本年度使用财政拨款购置公务用车0 辆</w:t>
      </w:r>
      <w:r>
        <w:rPr>
          <w:rFonts w:hint="eastAsia" w:ascii="仿宋_GB2312" w:hAnsi="仿宋_GB2312" w:eastAsia="仿宋_GB2312" w:cs="仿宋_GB2312"/>
          <w:color w:val="000000"/>
          <w:kern w:val="0"/>
          <w:sz w:val="32"/>
          <w:szCs w:val="32"/>
          <w:u w:val="none" w:color="auto"/>
          <w:lang w:eastAsia="zh-CN"/>
        </w:rPr>
        <w:t>。</w:t>
      </w:r>
      <w:r>
        <w:rPr>
          <w:rFonts w:hint="eastAsia" w:ascii="仿宋_GB2312" w:hAnsi="仿宋_GB2312" w:eastAsia="仿宋_GB2312" w:cs="仿宋_GB2312"/>
          <w:color w:val="000000"/>
          <w:kern w:val="0"/>
          <w:sz w:val="32"/>
          <w:szCs w:val="32"/>
          <w:u w:val="none" w:color="auto"/>
        </w:rPr>
        <w:t>与上年决算相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rPr>
        <w:t>。</w:t>
      </w:r>
    </w:p>
    <w:p w14:paraId="5C2EA1B3">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（2）公务用车运行维护费支出 1.21万元。公务用车运行维护费主要用于按规定保留的公务用车的燃料费</w:t>
      </w:r>
      <w:r>
        <w:rPr>
          <w:rFonts w:hint="eastAsia" w:ascii="仿宋_GB2312" w:hAnsi="仿宋_GB2312" w:eastAsia="仿宋_GB2312" w:cs="仿宋_GB2312"/>
          <w:color w:val="000000"/>
          <w:kern w:val="0"/>
          <w:sz w:val="32"/>
          <w:szCs w:val="32"/>
          <w:u w:val="none" w:color="auto"/>
          <w:lang w:val="en-US" w:eastAsia="zh-CN"/>
        </w:rPr>
        <w:t>1万元</w:t>
      </w:r>
      <w:r>
        <w:rPr>
          <w:rFonts w:hint="eastAsia" w:ascii="仿宋_GB2312" w:hAnsi="仿宋_GB2312" w:eastAsia="仿宋_GB2312" w:cs="仿宋_GB2312"/>
          <w:color w:val="000000"/>
          <w:kern w:val="0"/>
          <w:sz w:val="32"/>
          <w:szCs w:val="32"/>
          <w:u w:val="none" w:color="auto"/>
        </w:rPr>
        <w:t>、保险费</w:t>
      </w:r>
      <w:r>
        <w:rPr>
          <w:rFonts w:hint="eastAsia" w:ascii="仿宋_GB2312" w:hAnsi="仿宋_GB2312" w:eastAsia="仿宋_GB2312" w:cs="仿宋_GB2312"/>
          <w:color w:val="000000"/>
          <w:kern w:val="0"/>
          <w:sz w:val="32"/>
          <w:szCs w:val="32"/>
          <w:u w:val="none" w:color="auto"/>
          <w:lang w:val="en-US" w:eastAsia="zh-CN"/>
        </w:rPr>
        <w:t>0.21万元</w:t>
      </w:r>
      <w:r>
        <w:rPr>
          <w:rFonts w:hint="eastAsia" w:ascii="仿宋_GB2312" w:hAnsi="仿宋_GB2312" w:eastAsia="仿宋_GB2312" w:cs="仿宋_GB2312"/>
          <w:color w:val="000000"/>
          <w:kern w:val="0"/>
          <w:sz w:val="32"/>
          <w:szCs w:val="32"/>
          <w:u w:val="none" w:color="auto"/>
        </w:rPr>
        <w:t>。截至2024年12月31日，使用财政拨款开支的公务用车保有量为1 辆。与上年决算相比，减少0.08万元，下降6.52%，变动原因：</w:t>
      </w:r>
      <w:r>
        <w:rPr>
          <w:rFonts w:hint="eastAsia" w:ascii="仿宋_GB2312" w:hAnsi="仿宋_GB2312" w:eastAsia="仿宋_GB2312" w:cs="仿宋_GB2312"/>
          <w:color w:val="000000"/>
          <w:kern w:val="0"/>
          <w:sz w:val="32"/>
          <w:szCs w:val="32"/>
          <w:u w:val="none" w:color="auto"/>
          <w:lang w:val="en-US" w:eastAsia="zh-CN"/>
        </w:rPr>
        <w:t>本年度公车运行维护费节约开支。</w:t>
      </w:r>
    </w:p>
    <w:p w14:paraId="36F5F14D">
      <w:pPr>
        <w:widowControl/>
        <w:spacing w:before="240" w:after="240"/>
        <w:rPr>
          <w:rFonts w:hint="eastAsia" w:ascii="仿宋_GB2312" w:hAnsi="仿宋_GB2312" w:eastAsia="仿宋_GB2312" w:cs="仿宋_GB2312"/>
          <w:kern w:val="0"/>
          <w:sz w:val="32"/>
          <w:szCs w:val="32"/>
          <w:u w:val="none" w:color="auto"/>
        </w:rPr>
      </w:pPr>
      <w:r>
        <w:rPr>
          <w:rFonts w:hint="eastAsia" w:ascii="仿宋_GB2312" w:hAnsi="仿宋_GB2312" w:eastAsia="仿宋_GB2312" w:cs="仿宋_GB2312"/>
          <w:color w:val="000000"/>
          <w:kern w:val="0"/>
          <w:sz w:val="32"/>
          <w:szCs w:val="32"/>
          <w:u w:val="none" w:color="auto"/>
        </w:rPr>
        <w:t>    3.公务接待费支出 0万元。其中：国内公务接待支出 0万元，接待0 批次，0 人次；国（境）外公务接待支出 0万元，接待0 批次，0 人次。与上年决算相</w:t>
      </w:r>
      <w:r>
        <w:rPr>
          <w:rFonts w:hint="eastAsia" w:ascii="仿宋_GB2312" w:hAnsi="仿宋_GB2312" w:eastAsia="仿宋_GB2312" w:cs="仿宋_GB2312"/>
          <w:color w:val="000000"/>
          <w:kern w:val="0"/>
          <w:sz w:val="32"/>
          <w:szCs w:val="32"/>
          <w:u w:val="none" w:color="auto"/>
          <w:lang w:val="en-US" w:eastAsia="zh-CN"/>
        </w:rPr>
        <w:t>同。</w:t>
      </w:r>
    </w:p>
    <w:p w14:paraId="050B35FC">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九、政府性基金预算财政拨款支出决算情况说明</w:t>
      </w:r>
    </w:p>
    <w:p w14:paraId="34AE2D57">
      <w:pPr>
        <w:widowControl/>
        <w:spacing w:before="240" w:after="240"/>
        <w:rPr>
          <w:rFonts w:hint="eastAsia" w:ascii="仿宋_GB2312" w:hAnsi="仿宋_GB2312" w:eastAsia="仿宋_GB2312" w:cs="仿宋_GB2312"/>
          <w:color w:val="000000" w:themeColor="text1"/>
          <w:kern w:val="0"/>
          <w:sz w:val="32"/>
          <w:szCs w:val="32"/>
          <w:u w:val="none" w:color="auto"/>
        </w:rPr>
      </w:pPr>
      <w:r>
        <w:rPr>
          <w:rFonts w:ascii="仿宋_GB2312" w:hAnsi="仿宋_GB2312" w:eastAsia="仿宋_GB2312" w:cs="仿宋_GB2312"/>
          <w:color w:val="0E00FE"/>
          <w:kern w:val="0"/>
          <w:sz w:val="32"/>
          <w:szCs w:val="32"/>
        </w:rPr>
        <w:t xml:space="preserve">  </w:t>
      </w:r>
      <w:r>
        <w:rPr>
          <w:rFonts w:ascii="仿宋_GB2312" w:hAnsi="仿宋_GB2312" w:eastAsia="仿宋_GB2312" w:cs="仿宋_GB2312"/>
          <w:kern w:val="0"/>
          <w:sz w:val="32"/>
          <w:szCs w:val="32"/>
        </w:rPr>
        <w:t xml:space="preserve">  </w:t>
      </w:r>
      <w:r>
        <w:rPr>
          <w:rFonts w:hint="eastAsia" w:ascii="仿宋_GB2312" w:hAnsi="仿宋_GB2312" w:eastAsia="仿宋_GB2312" w:cs="仿宋_GB2312"/>
          <w:color w:val="000000"/>
          <w:kern w:val="0"/>
          <w:sz w:val="32"/>
          <w:szCs w:val="32"/>
          <w:u w:val="none" w:color="auto"/>
        </w:rPr>
        <w:t>  鄂温克族自治旗政务服务与数据管理局部门 2024年度政府性基金预算财政拨款支出决算 0万元。与上年决算相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rPr>
        <w:t>，</w:t>
      </w:r>
      <w:r>
        <w:rPr>
          <w:rFonts w:hint="eastAsia" w:ascii="仿宋_GB2312" w:hAnsi="仿宋_GB2312" w:eastAsia="仿宋_GB2312" w:cs="仿宋_GB2312"/>
          <w:color w:val="000000" w:themeColor="text1"/>
          <w:kern w:val="0"/>
          <w:sz w:val="32"/>
          <w:szCs w:val="32"/>
        </w:rPr>
        <w:t>本年无政府性基金预算财政拨款收、支、余。</w:t>
      </w:r>
    </w:p>
    <w:p w14:paraId="7DA36894">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十、国有资本经营预算财政拨款支出决算情况说明</w:t>
      </w:r>
    </w:p>
    <w:p w14:paraId="7A09387A">
      <w:pPr>
        <w:widowControl/>
        <w:spacing w:before="240" w:after="240"/>
        <w:ind w:firstLine="640" w:firstLineChars="200"/>
        <w:rPr>
          <w:rFonts w:hint="eastAsia" w:ascii="仿宋_GB2312" w:hAnsi="仿宋_GB2312" w:eastAsia="仿宋_GB2312" w:cs="仿宋_GB2312"/>
          <w:color w:val="000000" w:themeColor="text1"/>
          <w:kern w:val="0"/>
          <w:sz w:val="32"/>
          <w:szCs w:val="32"/>
          <w:lang w:eastAsia="zh-CN"/>
        </w:rPr>
      </w:pPr>
      <w:r>
        <w:rPr>
          <w:rFonts w:ascii="仿宋_GB2312" w:hAnsi="仿宋_GB2312" w:eastAsia="仿宋_GB2312" w:cs="仿宋_GB2312"/>
          <w:color w:val="1200FF"/>
          <w:kern w:val="0"/>
          <w:sz w:val="32"/>
          <w:szCs w:val="32"/>
        </w:rPr>
        <w:t> </w:t>
      </w:r>
      <w:r>
        <w:rPr>
          <w:rFonts w:hint="eastAsia" w:ascii="仿宋_GB2312" w:hAnsi="仿宋_GB2312" w:eastAsia="仿宋_GB2312" w:cs="仿宋_GB2312"/>
          <w:color w:val="000000"/>
          <w:kern w:val="0"/>
          <w:sz w:val="32"/>
          <w:szCs w:val="32"/>
          <w:u w:val="none" w:color="auto"/>
        </w:rPr>
        <w:t>鄂温克族自治旗政务服务与数据管理局部门 2024年度国有资本经营预算财政拨款支出决算 0万元。与上年决算相</w:t>
      </w:r>
      <w:r>
        <w:rPr>
          <w:rFonts w:hint="eastAsia" w:ascii="仿宋_GB2312" w:hAnsi="仿宋_GB2312" w:eastAsia="仿宋_GB2312" w:cs="仿宋_GB2312"/>
          <w:color w:val="000000"/>
          <w:kern w:val="0"/>
          <w:sz w:val="32"/>
          <w:szCs w:val="32"/>
          <w:u w:val="none" w:color="auto"/>
          <w:lang w:val="en-US" w:eastAsia="zh-CN"/>
        </w:rPr>
        <w:t>同</w:t>
      </w:r>
      <w:r>
        <w:rPr>
          <w:rFonts w:hint="eastAsia" w:ascii="仿宋_GB2312" w:hAnsi="仿宋_GB2312" w:eastAsia="仿宋_GB2312" w:cs="仿宋_GB2312"/>
          <w:color w:val="000000"/>
          <w:kern w:val="0"/>
          <w:sz w:val="32"/>
          <w:szCs w:val="32"/>
          <w:u w:val="none" w:color="auto"/>
        </w:rPr>
        <w:t>，</w:t>
      </w:r>
      <w:r>
        <w:rPr>
          <w:rFonts w:hint="eastAsia" w:ascii="仿宋_GB2312" w:hAnsi="仿宋_GB2312" w:eastAsia="仿宋_GB2312" w:cs="仿宋_GB2312"/>
          <w:color w:val="000000" w:themeColor="text1"/>
          <w:kern w:val="0"/>
          <w:sz w:val="32"/>
          <w:szCs w:val="32"/>
        </w:rPr>
        <w:t>本年无国有资本经营预算财政拨款收、支、余。</w:t>
      </w:r>
    </w:p>
    <w:p w14:paraId="78F85C26">
      <w:pPr>
        <w:widowControl/>
        <w:spacing w:before="240" w:after="240"/>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黑体" w:hAnsi="黑体" w:eastAsia="黑体" w:cs="黑体"/>
          <w:b/>
          <w:bCs/>
          <w:kern w:val="0"/>
          <w:sz w:val="32"/>
          <w:szCs w:val="32"/>
        </w:rPr>
        <w:t>十一、机关运行经费（公用经费）支出决算情况说明</w:t>
      </w:r>
    </w:p>
    <w:p w14:paraId="09F898FC">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kern w:val="0"/>
          <w:sz w:val="32"/>
          <w:szCs w:val="32"/>
        </w:rPr>
        <w:t>   </w:t>
      </w:r>
      <w:r>
        <w:rPr>
          <w:rFonts w:hint="eastAsia"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2024年度公用经费支出决算 574.65万元，与上年决算相比，增加266.13万元，增长86.26%，</w:t>
      </w:r>
      <w:r>
        <w:rPr>
          <w:rFonts w:hint="eastAsia" w:ascii="仿宋_GB2312" w:hAnsi="仿宋_GB2312" w:eastAsia="仿宋_GB2312" w:cs="仿宋_GB2312"/>
          <w:color w:val="000000"/>
          <w:kern w:val="0"/>
          <w:sz w:val="32"/>
          <w:szCs w:val="32"/>
        </w:rPr>
        <w:t>变动原因：</w:t>
      </w:r>
      <w:r>
        <w:rPr>
          <w:rFonts w:hint="eastAsia" w:ascii="仿宋_GB2312" w:hAnsi="仿宋_GB2312" w:eastAsia="仿宋_GB2312" w:cs="仿宋_GB2312"/>
          <w:color w:val="000000"/>
          <w:kern w:val="0"/>
          <w:sz w:val="32"/>
          <w:szCs w:val="32"/>
          <w:u w:val="none" w:color="auto"/>
          <w:lang w:val="en-US" w:eastAsia="zh-CN"/>
        </w:rPr>
        <w:t>本年度新增3名事业编制人员，政务服务中心税务专区改造费增加，公共资源交易中心追加评标室维修费</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none" w:color="auto"/>
        </w:rPr>
        <w:t>其中，机关运行经费支出决算 365.64万元。比上年决算相比，增加96.97万元，增长36.09%，变动原因：</w:t>
      </w:r>
      <w:r>
        <w:rPr>
          <w:rFonts w:hint="eastAsia" w:ascii="仿宋_GB2312" w:hAnsi="仿宋_GB2312" w:eastAsia="仿宋_GB2312" w:cs="仿宋_GB2312"/>
          <w:color w:val="000000"/>
          <w:kern w:val="0"/>
          <w:sz w:val="32"/>
          <w:szCs w:val="32"/>
          <w:u w:val="none" w:color="auto"/>
          <w:lang w:val="en-US" w:eastAsia="zh-CN"/>
        </w:rPr>
        <w:t>本年度新增3名事业编制人员，政务服务中心税务专区改造费增加</w:t>
      </w:r>
      <w:r>
        <w:rPr>
          <w:rFonts w:hint="eastAsia" w:ascii="仿宋_GB2312" w:hAnsi="仿宋_GB2312" w:eastAsia="仿宋_GB2312" w:cs="仿宋_GB2312"/>
          <w:color w:val="000000"/>
          <w:kern w:val="0"/>
          <w:sz w:val="32"/>
          <w:szCs w:val="32"/>
          <w:u w:val="none" w:color="auto"/>
        </w:rPr>
        <w:t>。</w:t>
      </w:r>
    </w:p>
    <w:p w14:paraId="5EC1F48F">
      <w:pPr>
        <w:widowControl/>
        <w:spacing w:before="240" w:after="240"/>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十二、政府采购支出决算情况说明</w:t>
      </w:r>
    </w:p>
    <w:p w14:paraId="6F62DA67">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kern w:val="0"/>
          <w:sz w:val="32"/>
          <w:szCs w:val="32"/>
        </w:rPr>
        <w:t>   </w:t>
      </w:r>
      <w:r>
        <w:rPr>
          <w:rFonts w:hint="eastAsia"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2024年度政府采购支出总额 471.94万元，其中：政府采购货物支出 7.60万元、政府采购工程支出 266.05万元、政府采购服务支出 198.29万元。政府采购授予中小企业合同金额 </w:t>
      </w:r>
      <w:r>
        <w:rPr>
          <w:rFonts w:hint="eastAsia" w:ascii="仿宋_GB2312" w:hAnsi="仿宋_GB2312" w:eastAsia="仿宋_GB2312" w:cs="仿宋_GB2312"/>
          <w:color w:val="000000"/>
          <w:kern w:val="0"/>
          <w:sz w:val="32"/>
          <w:szCs w:val="32"/>
          <w:u w:val="none" w:color="auto"/>
          <w:lang w:val="en-US" w:eastAsia="zh-CN"/>
        </w:rPr>
        <w:t>7.60</w:t>
      </w:r>
      <w:r>
        <w:rPr>
          <w:rFonts w:hint="eastAsia" w:ascii="仿宋_GB2312" w:hAnsi="仿宋_GB2312" w:eastAsia="仿宋_GB2312" w:cs="仿宋_GB2312"/>
          <w:color w:val="000000"/>
          <w:kern w:val="0"/>
          <w:sz w:val="32"/>
          <w:szCs w:val="32"/>
          <w:u w:val="none" w:color="auto"/>
        </w:rPr>
        <w:t>万元，占政府采购支出总额的</w:t>
      </w:r>
      <w:r>
        <w:rPr>
          <w:rFonts w:hint="eastAsia" w:ascii="仿宋_GB2312" w:hAnsi="仿宋_GB2312" w:eastAsia="仿宋_GB2312" w:cs="仿宋_GB2312"/>
          <w:color w:val="000000"/>
          <w:kern w:val="0"/>
          <w:sz w:val="32"/>
          <w:szCs w:val="32"/>
          <w:u w:val="none" w:color="auto"/>
          <w:lang w:val="en-US" w:eastAsia="zh-CN"/>
        </w:rPr>
        <w:t>1.61</w:t>
      </w:r>
      <w:r>
        <w:rPr>
          <w:rFonts w:hint="eastAsia" w:ascii="仿宋_GB2312" w:hAnsi="仿宋_GB2312" w:eastAsia="仿宋_GB2312" w:cs="仿宋_GB2312"/>
          <w:color w:val="000000"/>
          <w:kern w:val="0"/>
          <w:sz w:val="32"/>
          <w:szCs w:val="32"/>
          <w:u w:val="none" w:color="auto"/>
        </w:rPr>
        <w:t>%，其中：授予小微企业合同金额 0万元，占政府采购支出总额的</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%；货物采购授予中小企业合同金额占货物支出金额的</w:t>
      </w:r>
      <w:r>
        <w:rPr>
          <w:rFonts w:hint="eastAsia" w:ascii="仿宋_GB2312" w:hAnsi="仿宋_GB2312" w:eastAsia="仿宋_GB2312" w:cs="仿宋_GB2312"/>
          <w:color w:val="000000"/>
          <w:kern w:val="0"/>
          <w:sz w:val="32"/>
          <w:szCs w:val="32"/>
          <w:u w:val="none" w:color="auto"/>
          <w:lang w:val="en-US" w:eastAsia="zh-CN"/>
        </w:rPr>
        <w:t>1.61</w:t>
      </w:r>
      <w:r>
        <w:rPr>
          <w:rFonts w:hint="eastAsia" w:ascii="仿宋_GB2312" w:hAnsi="仿宋_GB2312" w:eastAsia="仿宋_GB2312" w:cs="仿宋_GB2312"/>
          <w:color w:val="000000"/>
          <w:kern w:val="0"/>
          <w:sz w:val="32"/>
          <w:szCs w:val="32"/>
          <w:u w:val="none" w:color="auto"/>
        </w:rPr>
        <w:t>%，工程采购授予中小企业合同金额占工程支出金额的</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%，服务采购授予中小企业合同金额占服务支出金额的</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w:t>
      </w:r>
    </w:p>
    <w:p w14:paraId="76B1DC2E">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十三、国有资产占用情况说明</w:t>
      </w:r>
    </w:p>
    <w:p w14:paraId="52EE0C84">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kern w:val="0"/>
          <w:sz w:val="32"/>
          <w:szCs w:val="32"/>
        </w:rPr>
        <w:t>   </w:t>
      </w:r>
      <w:r>
        <w:rPr>
          <w:rFonts w:hint="eastAsia" w:ascii="仿宋_GB2312" w:hAnsi="仿宋_GB2312" w:eastAsia="仿宋_GB2312" w:cs="仿宋_GB2312"/>
          <w:color w:val="000000"/>
          <w:kern w:val="0"/>
          <w:sz w:val="32"/>
          <w:szCs w:val="32"/>
          <w:u w:val="none" w:color="auto"/>
        </w:rPr>
        <w:t xml:space="preserve"> 鄂温克族自治旗政务服务与数据管理局部门 截至2024年12月31日，本部门（单位）共有车辆 0辆，其中：副部（省）级及以上领导用车0 辆、主要负责人用车 0辆、机要通信用车 0辆、应急保障用车 0辆、执法执勤用车 0辆、特种专业技术用车 0辆、离退休干部服务用车 0辆，其他用车 0辆；单价100万元（含）以上的设备（不含车辆） 0台（套）。</w:t>
      </w:r>
    </w:p>
    <w:p w14:paraId="0BCA4AE1">
      <w:pPr>
        <w:widowControl/>
        <w:spacing w:before="240" w:after="240"/>
        <w:jc w:val="left"/>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十四、预算绩效情况说明</w:t>
      </w:r>
    </w:p>
    <w:p w14:paraId="3409467D">
      <w:pPr>
        <w:widowControl/>
        <w:spacing w:before="240" w:after="240"/>
        <w:jc w:val="left"/>
        <w:rPr>
          <w:rFonts w:ascii="Times New Roman" w:hAnsi="Times New Roman" w:eastAsia="Times New Roman" w:cs="Times New Roman"/>
          <w:kern w:val="0"/>
          <w:sz w:val="32"/>
          <w:szCs w:val="32"/>
        </w:rPr>
      </w:pPr>
      <w:r>
        <w:rPr>
          <w:rFonts w:ascii="kai_ti_gb2312" w:hAnsi="kai_ti_gb2312" w:eastAsia="kai_ti_gb2312" w:cs="kai_ti_gb2312"/>
          <w:b/>
          <w:bCs/>
          <w:kern w:val="0"/>
          <w:sz w:val="32"/>
          <w:szCs w:val="32"/>
        </w:rPr>
        <w:t>   （一）预算绩效管理工作开展情况。</w:t>
      </w:r>
    </w:p>
    <w:p w14:paraId="487942BD">
      <w:pPr>
        <w:widowControl/>
        <w:spacing w:before="240" w:after="240"/>
        <w:rPr>
          <w:rFonts w:hint="eastAsia" w:ascii="Times New Roman" w:hAnsi="Times New Roman" w:eastAsia="仿宋_GB2312" w:cs="Times New Roman"/>
          <w:kern w:val="0"/>
          <w:sz w:val="32"/>
          <w:szCs w:val="32"/>
          <w:lang w:val="en-US" w:eastAsia="zh-CN"/>
        </w:rPr>
      </w:pPr>
      <w:r>
        <w:rPr>
          <w:rFonts w:hint="eastAsia" w:ascii="仿宋_GB2312" w:hAnsi="仿宋_GB2312" w:eastAsia="仿宋_GB2312" w:cs="仿宋_GB2312"/>
          <w:kern w:val="0"/>
          <w:sz w:val="32"/>
          <w:szCs w:val="32"/>
          <w:u w:val="none" w:color="auto"/>
        </w:rPr>
        <w:t xml:space="preserve">    </w:t>
      </w:r>
      <w:r>
        <w:rPr>
          <w:rFonts w:hint="eastAsia" w:ascii="仿宋_GB2312" w:hAnsi="仿宋_GB2312" w:eastAsia="仿宋_GB2312" w:cs="仿宋_GB2312"/>
          <w:kern w:val="0"/>
          <w:sz w:val="32"/>
          <w:szCs w:val="32"/>
          <w:u w:val="none" w:color="auto"/>
          <w:lang w:val="en-US" w:eastAsia="zh-CN"/>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鄂温克族自治旗政务服务与数据管理局部门根据预算绩效管理要求组织对2024年一般公共预算项目支出全面开展绩效自评，其中一级项目</w:t>
      </w:r>
      <w:r>
        <w:rPr>
          <w:rFonts w:hint="eastAsia" w:ascii="仿宋_GB2312" w:hAnsi="仿宋_GB2312" w:eastAsia="仿宋_GB2312" w:cs="仿宋_GB2312"/>
          <w:color w:val="000000"/>
          <w:kern w:val="0"/>
          <w:sz w:val="32"/>
          <w:szCs w:val="32"/>
          <w:u w:val="none" w:color="auto"/>
          <w:lang w:val="en-US" w:eastAsia="zh-CN"/>
        </w:rPr>
        <w:t>7</w:t>
      </w:r>
      <w:r>
        <w:rPr>
          <w:rFonts w:hint="eastAsia" w:ascii="仿宋_GB2312" w:hAnsi="仿宋_GB2312" w:eastAsia="仿宋_GB2312" w:cs="仿宋_GB2312"/>
          <w:color w:val="000000"/>
          <w:kern w:val="0"/>
          <w:sz w:val="32"/>
          <w:szCs w:val="32"/>
          <w:u w:val="none" w:color="auto"/>
        </w:rPr>
        <w:t>个，二级项目</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个，共涉及资金</w:t>
      </w:r>
      <w:r>
        <w:rPr>
          <w:rFonts w:hint="eastAsia" w:ascii="仿宋_GB2312" w:hAnsi="仿宋_GB2312" w:eastAsia="仿宋_GB2312" w:cs="仿宋_GB2312"/>
          <w:color w:val="000000"/>
          <w:kern w:val="0"/>
          <w:sz w:val="32"/>
          <w:szCs w:val="32"/>
          <w:u w:val="none" w:color="auto"/>
          <w:lang w:val="en-US" w:eastAsia="zh-CN"/>
        </w:rPr>
        <w:t>644.51</w:t>
      </w:r>
      <w:r>
        <w:rPr>
          <w:rFonts w:hint="eastAsia" w:ascii="仿宋_GB2312" w:hAnsi="仿宋_GB2312" w:eastAsia="仿宋_GB2312" w:cs="仿宋_GB2312"/>
          <w:color w:val="000000"/>
          <w:kern w:val="0"/>
          <w:sz w:val="32"/>
          <w:szCs w:val="32"/>
          <w:u w:val="none" w:color="auto"/>
        </w:rPr>
        <w:t>万元，占一般公共预算项目支出总额的100%；政府性基金预算项目</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个，其中，一级项目 </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 个，二级项目</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个，共涉及资金</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万元，占应纳入绩效自评的政府性基金预算项目支出总额的</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w:t>
      </w:r>
      <w:r>
        <w:rPr>
          <w:rFonts w:hint="eastAsia" w:ascii="仿宋_GB2312" w:hAnsi="仿宋_GB2312" w:eastAsia="仿宋_GB2312" w:cs="仿宋_GB2312"/>
          <w:color w:val="000000"/>
          <w:kern w:val="0"/>
          <w:sz w:val="32"/>
          <w:szCs w:val="32"/>
          <w:u w:val="none" w:color="auto"/>
          <w:lang w:eastAsia="zh-CN"/>
        </w:rPr>
        <w:t>。</w:t>
      </w:r>
    </w:p>
    <w:p w14:paraId="65605919">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u w:val="none" w:color="auto"/>
        </w:rPr>
        <w:t>组织对</w:t>
      </w:r>
      <w:r>
        <w:rPr>
          <w:rFonts w:hint="eastAsia" w:ascii="仿宋_GB2312" w:hAnsi="仿宋_GB2312" w:eastAsia="仿宋_GB2312" w:cs="仿宋_GB2312"/>
          <w:color w:val="000000"/>
          <w:kern w:val="0"/>
          <w:sz w:val="32"/>
          <w:szCs w:val="32"/>
          <w:u w:val="none" w:color="auto"/>
          <w:lang w:val="en-US" w:eastAsia="zh-CN"/>
        </w:rPr>
        <w:t>政务服务中心综窗购买服务</w:t>
      </w:r>
      <w:r>
        <w:rPr>
          <w:rFonts w:hint="eastAsia" w:ascii="仿宋_GB2312" w:hAnsi="仿宋_GB2312" w:eastAsia="仿宋_GB2312" w:cs="仿宋_GB2312"/>
          <w:color w:val="000000"/>
          <w:kern w:val="0"/>
          <w:sz w:val="32"/>
          <w:szCs w:val="32"/>
          <w:u w:val="none" w:color="auto"/>
        </w:rPr>
        <w:t>等</w:t>
      </w:r>
      <w:r>
        <w:rPr>
          <w:rFonts w:hint="eastAsia" w:ascii="仿宋_GB2312" w:hAnsi="仿宋_GB2312" w:eastAsia="仿宋_GB2312" w:cs="仿宋_GB2312"/>
          <w:color w:val="000000"/>
          <w:kern w:val="0"/>
          <w:sz w:val="32"/>
          <w:szCs w:val="32"/>
          <w:u w:val="none" w:color="auto"/>
          <w:lang w:val="en-US" w:eastAsia="zh-CN"/>
        </w:rPr>
        <w:t>7</w:t>
      </w:r>
      <w:r>
        <w:rPr>
          <w:rFonts w:hint="eastAsia" w:ascii="仿宋_GB2312" w:hAnsi="仿宋_GB2312" w:eastAsia="仿宋_GB2312" w:cs="仿宋_GB2312"/>
          <w:color w:val="000000"/>
          <w:kern w:val="0"/>
          <w:sz w:val="32"/>
          <w:szCs w:val="32"/>
          <w:u w:val="none" w:color="auto"/>
        </w:rPr>
        <w:t>个项目开展了部门评价，涉及一般公共预算支出</w:t>
      </w:r>
      <w:r>
        <w:rPr>
          <w:rFonts w:hint="eastAsia" w:ascii="仿宋_GB2312" w:hAnsi="仿宋_GB2312" w:eastAsia="仿宋_GB2312" w:cs="仿宋_GB2312"/>
          <w:color w:val="000000"/>
          <w:kern w:val="0"/>
          <w:sz w:val="32"/>
          <w:szCs w:val="32"/>
          <w:u w:val="none" w:color="auto"/>
          <w:lang w:val="en-US" w:eastAsia="zh-CN"/>
        </w:rPr>
        <w:t>644.51</w:t>
      </w:r>
      <w:r>
        <w:rPr>
          <w:rFonts w:hint="eastAsia" w:ascii="仿宋_GB2312" w:hAnsi="仿宋_GB2312" w:eastAsia="仿宋_GB2312" w:cs="仿宋_GB2312"/>
          <w:color w:val="000000"/>
          <w:kern w:val="0"/>
          <w:sz w:val="32"/>
          <w:szCs w:val="32"/>
          <w:u w:val="none" w:color="auto"/>
        </w:rPr>
        <w:t>万元，政府性基金支出</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万元</w:t>
      </w:r>
      <w:r>
        <w:rPr>
          <w:rFonts w:hint="eastAsia" w:ascii="仿宋_GB2312" w:hAnsi="仿宋_GB2312" w:eastAsia="仿宋_GB2312" w:cs="仿宋_GB2312"/>
          <w:color w:val="000000"/>
          <w:kern w:val="0"/>
          <w:sz w:val="32"/>
          <w:szCs w:val="32"/>
          <w:u w:val="none" w:color="auto"/>
          <w:lang w:eastAsia="zh-CN"/>
        </w:rPr>
        <w:t>。</w:t>
      </w:r>
    </w:p>
    <w:p w14:paraId="3085312C">
      <w:pPr>
        <w:widowControl/>
        <w:spacing w:before="240" w:after="240"/>
        <w:jc w:val="left"/>
        <w:rPr>
          <w:rFonts w:ascii="Times New Roman" w:hAnsi="Times New Roman" w:eastAsia="Times New Roman" w:cs="Times New Roman"/>
          <w:kern w:val="0"/>
          <w:sz w:val="32"/>
          <w:szCs w:val="32"/>
        </w:rPr>
      </w:pPr>
      <w:r>
        <w:rPr>
          <w:rFonts w:ascii="kai_ti_gb2312" w:hAnsi="kai_ti_gb2312" w:eastAsia="kai_ti_gb2312" w:cs="kai_ti_gb2312"/>
          <w:b/>
          <w:bCs/>
          <w:color w:val="000000"/>
          <w:kern w:val="0"/>
          <w:sz w:val="32"/>
          <w:szCs w:val="32"/>
        </w:rPr>
        <w:t>    （二）部门（单位）决算中项目绩效自评结果。</w:t>
      </w:r>
    </w:p>
    <w:p w14:paraId="552869B1">
      <w:pPr>
        <w:widowControl/>
        <w:spacing w:before="240" w:after="240"/>
        <w:rPr>
          <w:rFonts w:hint="eastAsia" w:ascii="仿宋_GB2312" w:hAnsi="仿宋_GB2312" w:eastAsia="仿宋_GB2312" w:cs="仿宋_GB2312"/>
          <w:kern w:val="0"/>
          <w:sz w:val="32"/>
          <w:szCs w:val="32"/>
          <w:u w:val="none" w:color="auto"/>
        </w:rPr>
      </w:pPr>
      <w:r>
        <w:rPr>
          <w:rFonts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u w:val="none" w:color="auto"/>
        </w:rPr>
        <w:t>鄂温克族自治旗政务服务与数据管理局部门 2024年度在决算中反映</w:t>
      </w:r>
      <w:r>
        <w:rPr>
          <w:rFonts w:hint="eastAsia" w:ascii="仿宋_GB2312" w:hAnsi="仿宋_GB2312" w:eastAsia="仿宋_GB2312" w:cs="仿宋_GB2312"/>
          <w:color w:val="000000"/>
          <w:kern w:val="0"/>
          <w:sz w:val="32"/>
          <w:szCs w:val="32"/>
          <w:u w:val="none" w:color="auto"/>
          <w:lang w:val="en-US" w:eastAsia="zh-CN"/>
        </w:rPr>
        <w:t>7</w:t>
      </w:r>
      <w:r>
        <w:rPr>
          <w:rFonts w:hint="eastAsia" w:ascii="仿宋_GB2312" w:hAnsi="仿宋_GB2312" w:eastAsia="仿宋_GB2312" w:cs="仿宋_GB2312"/>
          <w:color w:val="000000"/>
          <w:kern w:val="0"/>
          <w:sz w:val="32"/>
          <w:szCs w:val="32"/>
          <w:u w:val="none" w:color="auto"/>
        </w:rPr>
        <w:t>个一般公共预算项目，以及</w:t>
      </w:r>
      <w:r>
        <w:rPr>
          <w:rFonts w:hint="eastAsia" w:ascii="仿宋_GB2312" w:hAnsi="仿宋_GB2312" w:eastAsia="仿宋_GB2312" w:cs="仿宋_GB2312"/>
          <w:color w:val="000000"/>
          <w:kern w:val="0"/>
          <w:sz w:val="32"/>
          <w:szCs w:val="32"/>
          <w:u w:val="none" w:color="auto"/>
          <w:lang w:val="en-US" w:eastAsia="zh-CN"/>
        </w:rPr>
        <w:t>0</w:t>
      </w:r>
      <w:r>
        <w:rPr>
          <w:rFonts w:hint="eastAsia" w:ascii="仿宋_GB2312" w:hAnsi="仿宋_GB2312" w:eastAsia="仿宋_GB2312" w:cs="仿宋_GB2312"/>
          <w:color w:val="000000"/>
          <w:kern w:val="0"/>
          <w:sz w:val="32"/>
          <w:szCs w:val="32"/>
          <w:u w:val="none" w:color="auto"/>
        </w:rPr>
        <w:t>个政府性基金项目，共</w:t>
      </w:r>
      <w:r>
        <w:rPr>
          <w:rFonts w:hint="eastAsia" w:ascii="仿宋_GB2312" w:hAnsi="仿宋_GB2312" w:eastAsia="仿宋_GB2312" w:cs="仿宋_GB2312"/>
          <w:color w:val="000000"/>
          <w:kern w:val="0"/>
          <w:sz w:val="32"/>
          <w:szCs w:val="32"/>
          <w:u w:val="none" w:color="auto"/>
          <w:lang w:val="en-US" w:eastAsia="zh-CN"/>
        </w:rPr>
        <w:t>开展5</w:t>
      </w:r>
      <w:r>
        <w:rPr>
          <w:rFonts w:hint="eastAsia" w:ascii="仿宋_GB2312" w:hAnsi="仿宋_GB2312" w:eastAsia="仿宋_GB2312" w:cs="仿宋_GB2312"/>
          <w:color w:val="000000"/>
          <w:kern w:val="0"/>
          <w:sz w:val="32"/>
          <w:szCs w:val="32"/>
          <w:u w:val="none" w:color="auto"/>
        </w:rPr>
        <w:t>个项目的绩效自评结果。</w:t>
      </w:r>
    </w:p>
    <w:p w14:paraId="3C3ED0A4">
      <w:pPr>
        <w:widowControl/>
        <w:spacing w:before="240" w:after="24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kern w:val="0"/>
          <w:sz w:val="32"/>
          <w:szCs w:val="32"/>
        </w:rPr>
        <w:t>    1.</w:t>
      </w:r>
      <w:r>
        <w:rPr>
          <w:rFonts w:hint="eastAsia" w:ascii="仿宋_GB2312" w:hAnsi="仿宋_GB2312" w:eastAsia="仿宋_GB2312" w:cs="仿宋_GB2312"/>
          <w:color w:val="000000"/>
          <w:kern w:val="0"/>
          <w:sz w:val="32"/>
          <w:szCs w:val="32"/>
          <w:lang w:val="en-US" w:eastAsia="zh-CN"/>
        </w:rPr>
        <w:t>全旗办公楼维修</w:t>
      </w:r>
      <w:r>
        <w:rPr>
          <w:rFonts w:hint="eastAsia" w:ascii="仿宋_GB2312" w:hAnsi="仿宋_GB2312" w:eastAsia="仿宋_GB2312" w:cs="仿宋_GB2312"/>
          <w:color w:val="000000"/>
          <w:kern w:val="0"/>
          <w:sz w:val="32"/>
          <w:szCs w:val="32"/>
        </w:rPr>
        <w:t>项目自评综述：根据年初设定的绩效目标，项目</w:t>
      </w:r>
      <w:r>
        <w:rPr>
          <w:rFonts w:hint="eastAsia" w:ascii="仿宋_GB2312" w:hAnsi="仿宋_GB2312" w:eastAsia="仿宋_GB2312" w:cs="仿宋_GB2312"/>
          <w:color w:val="000000"/>
          <w:kern w:val="0"/>
          <w:sz w:val="32"/>
          <w:szCs w:val="32"/>
          <w:u w:val="none" w:color="auto"/>
        </w:rPr>
        <w:t>自评得分</w:t>
      </w:r>
      <w:r>
        <w:rPr>
          <w:rFonts w:hint="eastAsia" w:ascii="仿宋_GB2312" w:hAnsi="仿宋_GB2312" w:eastAsia="仿宋_GB2312" w:cs="仿宋_GB2312"/>
          <w:color w:val="000000"/>
          <w:kern w:val="0"/>
          <w:sz w:val="32"/>
          <w:szCs w:val="32"/>
          <w:u w:val="none" w:color="auto"/>
          <w:lang w:val="en-US" w:eastAsia="zh-CN"/>
        </w:rPr>
        <w:t>90</w:t>
      </w:r>
      <w:r>
        <w:rPr>
          <w:rFonts w:hint="eastAsia" w:ascii="仿宋_GB2312" w:hAnsi="仿宋_GB2312" w:eastAsia="仿宋_GB2312" w:cs="仿宋_GB2312"/>
          <w:color w:val="000000"/>
          <w:kern w:val="0"/>
          <w:sz w:val="32"/>
          <w:szCs w:val="32"/>
          <w:u w:val="none" w:color="auto"/>
        </w:rPr>
        <w:t>分。全年预算数为</w:t>
      </w:r>
      <w:r>
        <w:rPr>
          <w:rFonts w:hint="eastAsia" w:ascii="仿宋_GB2312" w:hAnsi="仿宋_GB2312" w:eastAsia="仿宋_GB2312" w:cs="仿宋_GB2312"/>
          <w:color w:val="000000"/>
          <w:kern w:val="0"/>
          <w:sz w:val="32"/>
          <w:szCs w:val="32"/>
          <w:u w:val="none" w:color="auto"/>
          <w:lang w:val="en-US" w:eastAsia="zh-CN"/>
        </w:rPr>
        <w:t>1.62</w:t>
      </w:r>
      <w:r>
        <w:rPr>
          <w:rFonts w:hint="eastAsia" w:ascii="仿宋_GB2312" w:hAnsi="仿宋_GB2312" w:eastAsia="仿宋_GB2312" w:cs="仿宋_GB2312"/>
          <w:color w:val="000000"/>
          <w:kern w:val="0"/>
          <w:sz w:val="32"/>
          <w:szCs w:val="32"/>
          <w:u w:val="none" w:color="auto"/>
        </w:rPr>
        <w:t>万元，执行数为</w:t>
      </w:r>
      <w:r>
        <w:rPr>
          <w:rFonts w:hint="eastAsia" w:ascii="仿宋_GB2312" w:hAnsi="仿宋_GB2312" w:eastAsia="仿宋_GB2312" w:cs="仿宋_GB2312"/>
          <w:color w:val="000000"/>
          <w:kern w:val="0"/>
          <w:sz w:val="32"/>
          <w:szCs w:val="32"/>
          <w:u w:val="none" w:color="auto"/>
          <w:lang w:val="en-US" w:eastAsia="zh-CN"/>
        </w:rPr>
        <w:t>1.62</w:t>
      </w:r>
      <w:r>
        <w:rPr>
          <w:rFonts w:hint="eastAsia" w:ascii="仿宋_GB2312" w:hAnsi="仿宋_GB2312" w:eastAsia="仿宋_GB2312" w:cs="仿宋_GB2312"/>
          <w:color w:val="000000"/>
          <w:kern w:val="0"/>
          <w:sz w:val="32"/>
          <w:szCs w:val="32"/>
          <w:u w:val="none" w:color="auto"/>
        </w:rPr>
        <w:t>万元，完成</w:t>
      </w:r>
      <w:r>
        <w:rPr>
          <w:rFonts w:hint="eastAsia" w:ascii="仿宋_GB2312" w:hAnsi="仿宋_GB2312" w:eastAsia="仿宋_GB2312" w:cs="仿宋_GB2312"/>
          <w:color w:val="000000"/>
          <w:kern w:val="0"/>
          <w:sz w:val="32"/>
          <w:szCs w:val="32"/>
        </w:rPr>
        <w:t>预算的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%。项目绩效目标完成情况：</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该项目按期完成，达到预期效果</w:t>
      </w:r>
      <w:r>
        <w:rPr>
          <w:rFonts w:hint="eastAsia" w:ascii="仿宋_GB2312" w:hAnsi="仿宋_GB2312" w:eastAsia="仿宋_GB2312" w:cs="仿宋_GB2312"/>
          <w:color w:val="000000" w:themeColor="text1"/>
          <w:kern w:val="0"/>
          <w:sz w:val="32"/>
          <w:szCs w:val="32"/>
          <w14:textFill>
            <w14:solidFill>
              <w14:schemeClr w14:val="tx1"/>
            </w14:solidFill>
          </w14:textFill>
        </w:rPr>
        <w:t>。发现的主要问题及原因：</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绩效目标管理不够科学完善</w:t>
      </w:r>
      <w:r>
        <w:rPr>
          <w:rFonts w:hint="eastAsia" w:ascii="仿宋_GB2312" w:hAnsi="仿宋_GB2312" w:eastAsia="仿宋_GB2312" w:cs="仿宋_GB2312"/>
          <w:color w:val="000000" w:themeColor="text1"/>
          <w:kern w:val="0"/>
          <w:sz w:val="32"/>
          <w:szCs w:val="32"/>
          <w14:textFill>
            <w14:solidFill>
              <w14:schemeClr w14:val="tx1"/>
            </w14:solidFill>
          </w14:textFill>
        </w:rPr>
        <w:t>。下一步改进措施：</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提高绩效管理科学性合理性，加强预算资金使用效率</w:t>
      </w:r>
      <w:r>
        <w:rPr>
          <w:rFonts w:hint="eastAsia" w:ascii="仿宋_GB2312" w:hAnsi="仿宋_GB2312" w:eastAsia="仿宋_GB2312" w:cs="仿宋_GB2312"/>
          <w:color w:val="000000" w:themeColor="text1"/>
          <w:kern w:val="0"/>
          <w:sz w:val="32"/>
          <w:szCs w:val="32"/>
          <w14:textFill>
            <w14:solidFill>
              <w14:schemeClr w14:val="tx1"/>
            </w14:solidFill>
          </w14:textFill>
        </w:rPr>
        <w:t>。</w:t>
      </w:r>
    </w:p>
    <w:p w14:paraId="5A5E295F">
      <w:pPr>
        <w:widowControl/>
        <w:spacing w:before="240" w:after="240"/>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kern w:val="0"/>
          <w:sz w:val="32"/>
          <w:szCs w:val="32"/>
        </w:rPr>
        <w:t>    2.</w:t>
      </w:r>
      <w:r>
        <w:rPr>
          <w:rFonts w:hint="eastAsia" w:ascii="仿宋_GB2312" w:hAnsi="仿宋_GB2312" w:eastAsia="仿宋_GB2312" w:cs="仿宋_GB2312"/>
          <w:color w:val="000000"/>
          <w:kern w:val="0"/>
          <w:sz w:val="32"/>
          <w:szCs w:val="32"/>
          <w:lang w:val="en-US" w:eastAsia="zh-CN"/>
        </w:rPr>
        <w:t>政府网站改造升级</w:t>
      </w:r>
      <w:r>
        <w:rPr>
          <w:rFonts w:hint="eastAsia" w:ascii="仿宋_GB2312" w:hAnsi="仿宋_GB2312" w:eastAsia="仿宋_GB2312" w:cs="仿宋_GB2312"/>
          <w:color w:val="000000"/>
          <w:kern w:val="0"/>
          <w:sz w:val="32"/>
          <w:szCs w:val="32"/>
        </w:rPr>
        <w:t>项目自评综述：</w:t>
      </w:r>
      <w:r>
        <w:rPr>
          <w:rFonts w:hint="eastAsia" w:ascii="仿宋_GB2312" w:hAnsi="仿宋_GB2312" w:eastAsia="仿宋_GB2312" w:cs="仿宋_GB2312"/>
          <w:color w:val="000000"/>
          <w:kern w:val="0"/>
          <w:sz w:val="32"/>
          <w:szCs w:val="32"/>
        </w:rPr>
        <w:t>根据年初设定的绩效目标，项目</w:t>
      </w:r>
      <w:r>
        <w:rPr>
          <w:rFonts w:hint="eastAsia" w:ascii="仿宋_GB2312" w:hAnsi="仿宋_GB2312" w:eastAsia="仿宋_GB2312" w:cs="仿宋_GB2312"/>
          <w:color w:val="000000"/>
          <w:kern w:val="0"/>
          <w:sz w:val="32"/>
          <w:szCs w:val="32"/>
          <w:u w:val="none" w:color="auto"/>
        </w:rPr>
        <w:t>自评得分</w:t>
      </w:r>
      <w:r>
        <w:rPr>
          <w:rFonts w:hint="eastAsia" w:ascii="仿宋_GB2312" w:hAnsi="仿宋_GB2312" w:eastAsia="仿宋_GB2312" w:cs="仿宋_GB2312"/>
          <w:color w:val="000000"/>
          <w:kern w:val="0"/>
          <w:sz w:val="32"/>
          <w:szCs w:val="32"/>
          <w:u w:val="none" w:color="auto"/>
          <w:lang w:val="en-US" w:eastAsia="zh-CN"/>
        </w:rPr>
        <w:t>90</w:t>
      </w:r>
      <w:r>
        <w:rPr>
          <w:rFonts w:hint="eastAsia" w:ascii="仿宋_GB2312" w:hAnsi="仿宋_GB2312" w:eastAsia="仿宋_GB2312" w:cs="仿宋_GB2312"/>
          <w:color w:val="000000"/>
          <w:kern w:val="0"/>
          <w:sz w:val="32"/>
          <w:szCs w:val="32"/>
          <w:u w:val="none" w:color="auto"/>
        </w:rPr>
        <w:t>分。全年预算数为</w:t>
      </w:r>
      <w:r>
        <w:rPr>
          <w:rFonts w:hint="eastAsia" w:ascii="仿宋_GB2312" w:hAnsi="仿宋_GB2312" w:eastAsia="仿宋_GB2312" w:cs="仿宋_GB2312"/>
          <w:color w:val="000000"/>
          <w:kern w:val="0"/>
          <w:sz w:val="32"/>
          <w:szCs w:val="32"/>
          <w:u w:val="none" w:color="auto"/>
          <w:lang w:val="en-US" w:eastAsia="zh-CN"/>
        </w:rPr>
        <w:t>8</w:t>
      </w:r>
      <w:r>
        <w:rPr>
          <w:rFonts w:hint="eastAsia" w:ascii="仿宋_GB2312" w:hAnsi="仿宋_GB2312" w:eastAsia="仿宋_GB2312" w:cs="仿宋_GB2312"/>
          <w:color w:val="000000"/>
          <w:kern w:val="0"/>
          <w:sz w:val="32"/>
          <w:szCs w:val="32"/>
          <w:u w:val="none" w:color="auto"/>
        </w:rPr>
        <w:t>万元，执行数为</w:t>
      </w:r>
      <w:r>
        <w:rPr>
          <w:rFonts w:hint="eastAsia" w:ascii="仿宋_GB2312" w:hAnsi="仿宋_GB2312" w:eastAsia="仿宋_GB2312" w:cs="仿宋_GB2312"/>
          <w:color w:val="000000"/>
          <w:kern w:val="0"/>
          <w:sz w:val="32"/>
          <w:szCs w:val="32"/>
          <w:u w:val="none" w:color="auto"/>
          <w:lang w:val="en-US" w:eastAsia="zh-CN"/>
        </w:rPr>
        <w:t>8</w:t>
      </w:r>
      <w:r>
        <w:rPr>
          <w:rFonts w:hint="eastAsia" w:ascii="仿宋_GB2312" w:hAnsi="仿宋_GB2312" w:eastAsia="仿宋_GB2312" w:cs="仿宋_GB2312"/>
          <w:color w:val="000000"/>
          <w:kern w:val="0"/>
          <w:sz w:val="32"/>
          <w:szCs w:val="32"/>
          <w:u w:val="none" w:color="auto"/>
        </w:rPr>
        <w:t>万元，完成</w:t>
      </w:r>
      <w:r>
        <w:rPr>
          <w:rFonts w:hint="eastAsia" w:ascii="仿宋_GB2312" w:hAnsi="仿宋_GB2312" w:eastAsia="仿宋_GB2312" w:cs="仿宋_GB2312"/>
          <w:color w:val="000000"/>
          <w:kern w:val="0"/>
          <w:sz w:val="32"/>
          <w:szCs w:val="32"/>
        </w:rPr>
        <w:t>预算的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%。项目绩效目标完成情况：</w:t>
      </w:r>
      <w:r>
        <w:rPr>
          <w:rFonts w:hint="eastAsia" w:ascii="仿宋_GB2312" w:hAnsi="仿宋_GB2312" w:eastAsia="仿宋_GB2312" w:cs="仿宋_GB2312"/>
          <w:color w:val="000000" w:themeColor="text1"/>
          <w:kern w:val="0"/>
          <w:sz w:val="32"/>
          <w:szCs w:val="32"/>
          <w:lang w:val="en-US" w:eastAsia="zh-CN"/>
        </w:rPr>
        <w:t>该项目按期完成，达到预期效果</w:t>
      </w:r>
      <w:r>
        <w:rPr>
          <w:rFonts w:hint="eastAsia" w:ascii="仿宋_GB2312" w:hAnsi="仿宋_GB2312" w:eastAsia="仿宋_GB2312" w:cs="仿宋_GB2312"/>
          <w:color w:val="000000" w:themeColor="text1"/>
          <w:kern w:val="0"/>
          <w:sz w:val="32"/>
          <w:szCs w:val="32"/>
        </w:rPr>
        <w:t>。发现的主要问题及原因：</w:t>
      </w:r>
      <w:r>
        <w:rPr>
          <w:rFonts w:hint="eastAsia" w:ascii="仿宋_GB2312" w:hAnsi="仿宋_GB2312" w:eastAsia="仿宋_GB2312" w:cs="仿宋_GB2312"/>
          <w:color w:val="000000" w:themeColor="text1"/>
          <w:kern w:val="0"/>
          <w:sz w:val="32"/>
          <w:szCs w:val="32"/>
          <w:lang w:val="en-US" w:eastAsia="zh-CN"/>
        </w:rPr>
        <w:t>绩效目标管理不够科学完善</w:t>
      </w:r>
      <w:r>
        <w:rPr>
          <w:rFonts w:hint="eastAsia" w:ascii="仿宋_GB2312" w:hAnsi="仿宋_GB2312" w:eastAsia="仿宋_GB2312" w:cs="仿宋_GB2312"/>
          <w:color w:val="000000" w:themeColor="text1"/>
          <w:kern w:val="0"/>
          <w:sz w:val="32"/>
          <w:szCs w:val="32"/>
        </w:rPr>
        <w:t>。下一步改进措施：</w:t>
      </w:r>
      <w:r>
        <w:rPr>
          <w:rFonts w:hint="eastAsia" w:ascii="仿宋_GB2312" w:hAnsi="仿宋_GB2312" w:eastAsia="仿宋_GB2312" w:cs="仿宋_GB2312"/>
          <w:color w:val="000000" w:themeColor="text1"/>
          <w:kern w:val="0"/>
          <w:sz w:val="32"/>
          <w:szCs w:val="32"/>
          <w:lang w:val="en-US" w:eastAsia="zh-CN"/>
        </w:rPr>
        <w:t>提高绩效管理科学性合理性，加强预算资金使用效率</w:t>
      </w:r>
      <w:r>
        <w:rPr>
          <w:rFonts w:hint="eastAsia" w:ascii="仿宋_GB2312" w:hAnsi="仿宋_GB2312" w:eastAsia="仿宋_GB2312" w:cs="仿宋_GB2312"/>
          <w:color w:val="000000" w:themeColor="text1"/>
          <w:kern w:val="0"/>
          <w:sz w:val="32"/>
          <w:szCs w:val="32"/>
        </w:rPr>
        <w:t>。</w:t>
      </w:r>
    </w:p>
    <w:p w14:paraId="3F444897">
      <w:pPr>
        <w:widowControl/>
        <w:spacing w:before="240" w:after="240"/>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3</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政务中心综窗人员服务费</w:t>
      </w:r>
      <w:r>
        <w:rPr>
          <w:rFonts w:hint="eastAsia" w:ascii="仿宋_GB2312" w:hAnsi="仿宋_GB2312" w:eastAsia="仿宋_GB2312" w:cs="仿宋_GB2312"/>
          <w:color w:val="000000"/>
          <w:kern w:val="0"/>
          <w:sz w:val="32"/>
          <w:szCs w:val="32"/>
        </w:rPr>
        <w:t>项目自评综述：根据年初设定的绩效目标，项目</w:t>
      </w:r>
      <w:r>
        <w:rPr>
          <w:rFonts w:hint="eastAsia" w:ascii="仿宋_GB2312" w:hAnsi="仿宋_GB2312" w:eastAsia="仿宋_GB2312" w:cs="仿宋_GB2312"/>
          <w:color w:val="000000"/>
          <w:kern w:val="0"/>
          <w:sz w:val="32"/>
          <w:szCs w:val="32"/>
          <w:u w:val="none" w:color="auto"/>
        </w:rPr>
        <w:t>自评得分</w:t>
      </w:r>
      <w:r>
        <w:rPr>
          <w:rFonts w:hint="eastAsia" w:ascii="仿宋_GB2312" w:hAnsi="仿宋_GB2312" w:eastAsia="仿宋_GB2312" w:cs="仿宋_GB2312"/>
          <w:color w:val="000000"/>
          <w:kern w:val="0"/>
          <w:sz w:val="32"/>
          <w:szCs w:val="32"/>
          <w:u w:val="none" w:color="auto"/>
          <w:lang w:val="en-US" w:eastAsia="zh-CN"/>
        </w:rPr>
        <w:t>87</w:t>
      </w:r>
      <w:r>
        <w:rPr>
          <w:rFonts w:hint="eastAsia" w:ascii="仿宋_GB2312" w:hAnsi="仿宋_GB2312" w:eastAsia="仿宋_GB2312" w:cs="仿宋_GB2312"/>
          <w:color w:val="000000"/>
          <w:kern w:val="0"/>
          <w:sz w:val="32"/>
          <w:szCs w:val="32"/>
          <w:u w:val="none" w:color="auto"/>
        </w:rPr>
        <w:t>分。全年预算数为</w:t>
      </w:r>
      <w:r>
        <w:rPr>
          <w:rFonts w:hint="eastAsia" w:ascii="仿宋_GB2312" w:hAnsi="仿宋_GB2312" w:eastAsia="仿宋_GB2312" w:cs="仿宋_GB2312"/>
          <w:color w:val="000000"/>
          <w:kern w:val="0"/>
          <w:sz w:val="32"/>
          <w:szCs w:val="32"/>
          <w:u w:val="none" w:color="auto"/>
          <w:lang w:val="en-US" w:eastAsia="zh-CN"/>
        </w:rPr>
        <w:t>166</w:t>
      </w:r>
      <w:r>
        <w:rPr>
          <w:rFonts w:hint="eastAsia" w:ascii="仿宋_GB2312" w:hAnsi="仿宋_GB2312" w:eastAsia="仿宋_GB2312" w:cs="仿宋_GB2312"/>
          <w:color w:val="000000"/>
          <w:kern w:val="0"/>
          <w:sz w:val="32"/>
          <w:szCs w:val="32"/>
          <w:u w:val="none" w:color="auto"/>
        </w:rPr>
        <w:t>万元，执行数为</w:t>
      </w:r>
      <w:r>
        <w:rPr>
          <w:rFonts w:hint="eastAsia" w:ascii="仿宋_GB2312" w:hAnsi="仿宋_GB2312" w:eastAsia="仿宋_GB2312" w:cs="仿宋_GB2312"/>
          <w:color w:val="000000"/>
          <w:kern w:val="0"/>
          <w:sz w:val="32"/>
          <w:szCs w:val="32"/>
          <w:u w:val="none" w:color="auto"/>
          <w:lang w:val="en-US" w:eastAsia="zh-CN"/>
        </w:rPr>
        <w:t>145</w:t>
      </w:r>
      <w:r>
        <w:rPr>
          <w:rFonts w:hint="eastAsia" w:ascii="仿宋_GB2312" w:hAnsi="仿宋_GB2312" w:eastAsia="仿宋_GB2312" w:cs="仿宋_GB2312"/>
          <w:color w:val="000000"/>
          <w:kern w:val="0"/>
          <w:sz w:val="32"/>
          <w:szCs w:val="32"/>
          <w:u w:val="none" w:color="auto"/>
        </w:rPr>
        <w:t>万元，完成</w:t>
      </w:r>
      <w:r>
        <w:rPr>
          <w:rFonts w:hint="eastAsia" w:ascii="仿宋_GB2312" w:hAnsi="仿宋_GB2312" w:eastAsia="仿宋_GB2312" w:cs="仿宋_GB2312"/>
          <w:color w:val="000000"/>
          <w:kern w:val="0"/>
          <w:sz w:val="32"/>
          <w:szCs w:val="32"/>
        </w:rPr>
        <w:t>预算的</w:t>
      </w:r>
      <w:r>
        <w:rPr>
          <w:rFonts w:hint="eastAsia" w:ascii="仿宋_GB2312" w:hAnsi="仿宋_GB2312" w:eastAsia="仿宋_GB2312" w:cs="仿宋_GB2312"/>
          <w:color w:val="000000"/>
          <w:kern w:val="0"/>
          <w:sz w:val="32"/>
          <w:szCs w:val="32"/>
          <w:lang w:val="en-US" w:eastAsia="zh-CN"/>
        </w:rPr>
        <w:t>87.35</w:t>
      </w:r>
      <w:r>
        <w:rPr>
          <w:rFonts w:hint="eastAsia" w:ascii="仿宋_GB2312" w:hAnsi="仿宋_GB2312" w:eastAsia="仿宋_GB2312" w:cs="仿宋_GB2312"/>
          <w:color w:val="000000"/>
          <w:kern w:val="0"/>
          <w:sz w:val="32"/>
          <w:szCs w:val="32"/>
        </w:rPr>
        <w:t>%。项目绩效目标完成情况：</w:t>
      </w:r>
      <w:r>
        <w:rPr>
          <w:rFonts w:hint="eastAsia" w:ascii="仿宋_GB2312" w:hAnsi="仿宋_GB2312" w:eastAsia="仿宋_GB2312" w:cs="仿宋_GB2312"/>
          <w:color w:val="000000" w:themeColor="text1"/>
          <w:kern w:val="0"/>
          <w:sz w:val="32"/>
          <w:szCs w:val="32"/>
          <w:lang w:val="en-US" w:eastAsia="zh-CN"/>
        </w:rPr>
        <w:t>该项目按期完成，达到预期效果</w:t>
      </w:r>
      <w:r>
        <w:rPr>
          <w:rFonts w:hint="eastAsia" w:ascii="仿宋_GB2312" w:hAnsi="仿宋_GB2312" w:eastAsia="仿宋_GB2312" w:cs="仿宋_GB2312"/>
          <w:color w:val="000000" w:themeColor="text1"/>
          <w:kern w:val="0"/>
          <w:sz w:val="32"/>
          <w:szCs w:val="32"/>
        </w:rPr>
        <w:t>。发现的主要问题及原因：</w:t>
      </w:r>
      <w:r>
        <w:rPr>
          <w:rFonts w:hint="eastAsia" w:ascii="仿宋_GB2312" w:hAnsi="仿宋_GB2312" w:eastAsia="仿宋_GB2312" w:cs="仿宋_GB2312"/>
          <w:color w:val="000000" w:themeColor="text1"/>
          <w:kern w:val="0"/>
          <w:sz w:val="32"/>
          <w:szCs w:val="32"/>
          <w:lang w:val="en-US" w:eastAsia="zh-CN"/>
        </w:rPr>
        <w:t>绩效目标管理不够科学完善</w:t>
      </w:r>
      <w:r>
        <w:rPr>
          <w:rFonts w:hint="eastAsia" w:ascii="仿宋_GB2312" w:hAnsi="仿宋_GB2312" w:eastAsia="仿宋_GB2312" w:cs="仿宋_GB2312"/>
          <w:color w:val="000000" w:themeColor="text1"/>
          <w:kern w:val="0"/>
          <w:sz w:val="32"/>
          <w:szCs w:val="32"/>
        </w:rPr>
        <w:t>。下一步改进措施：</w:t>
      </w:r>
      <w:r>
        <w:rPr>
          <w:rFonts w:hint="eastAsia" w:ascii="仿宋_GB2312" w:hAnsi="仿宋_GB2312" w:eastAsia="仿宋_GB2312" w:cs="仿宋_GB2312"/>
          <w:color w:val="000000" w:themeColor="text1"/>
          <w:kern w:val="0"/>
          <w:sz w:val="32"/>
          <w:szCs w:val="32"/>
          <w:lang w:val="en-US" w:eastAsia="zh-CN"/>
        </w:rPr>
        <w:t>提高绩效管理科学性合理性，加强预算资金使用效率</w:t>
      </w:r>
      <w:r>
        <w:rPr>
          <w:rFonts w:hint="eastAsia" w:ascii="仿宋_GB2312" w:hAnsi="仿宋_GB2312" w:eastAsia="仿宋_GB2312" w:cs="仿宋_GB2312"/>
          <w:color w:val="000000" w:themeColor="text1"/>
          <w:kern w:val="0"/>
          <w:sz w:val="32"/>
          <w:szCs w:val="32"/>
        </w:rPr>
        <w:t>。</w:t>
      </w:r>
    </w:p>
    <w:p w14:paraId="7D2E1DDD">
      <w:pPr>
        <w:widowControl/>
        <w:spacing w:before="240" w:after="240"/>
        <w:ind w:firstLine="320" w:firstLineChars="100"/>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kern w:val="0"/>
          <w:sz w:val="32"/>
          <w:szCs w:val="32"/>
          <w:lang w:val="en-US" w:eastAsia="zh-CN"/>
        </w:rPr>
        <w:t xml:space="preserve"> 4</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政务中心税务专区改造</w:t>
      </w:r>
      <w:r>
        <w:rPr>
          <w:rFonts w:hint="eastAsia" w:ascii="仿宋_GB2312" w:hAnsi="仿宋_GB2312" w:eastAsia="仿宋_GB2312" w:cs="仿宋_GB2312"/>
          <w:color w:val="000000"/>
          <w:kern w:val="0"/>
          <w:sz w:val="32"/>
          <w:szCs w:val="32"/>
        </w:rPr>
        <w:t>项目自评综述：根据年初设定的绩效目标，项目</w:t>
      </w:r>
      <w:r>
        <w:rPr>
          <w:rFonts w:hint="eastAsia" w:ascii="仿宋_GB2312" w:hAnsi="仿宋_GB2312" w:eastAsia="仿宋_GB2312" w:cs="仿宋_GB2312"/>
          <w:color w:val="000000"/>
          <w:kern w:val="0"/>
          <w:sz w:val="32"/>
          <w:szCs w:val="32"/>
          <w:u w:val="none" w:color="auto"/>
        </w:rPr>
        <w:t>自评得分</w:t>
      </w:r>
      <w:r>
        <w:rPr>
          <w:rFonts w:hint="eastAsia" w:ascii="仿宋_GB2312" w:hAnsi="仿宋_GB2312" w:eastAsia="仿宋_GB2312" w:cs="仿宋_GB2312"/>
          <w:color w:val="000000"/>
          <w:kern w:val="0"/>
          <w:sz w:val="32"/>
          <w:szCs w:val="32"/>
          <w:u w:val="none" w:color="auto"/>
          <w:lang w:val="en-US" w:eastAsia="zh-CN"/>
        </w:rPr>
        <w:t>78</w:t>
      </w:r>
      <w:r>
        <w:rPr>
          <w:rFonts w:hint="eastAsia" w:ascii="仿宋_GB2312" w:hAnsi="仿宋_GB2312" w:eastAsia="仿宋_GB2312" w:cs="仿宋_GB2312"/>
          <w:color w:val="000000"/>
          <w:kern w:val="0"/>
          <w:sz w:val="32"/>
          <w:szCs w:val="32"/>
          <w:u w:val="none" w:color="auto"/>
        </w:rPr>
        <w:t>分。全年预算数为</w:t>
      </w:r>
      <w:r>
        <w:rPr>
          <w:rFonts w:hint="eastAsia" w:ascii="仿宋_GB2312" w:hAnsi="仿宋_GB2312" w:eastAsia="仿宋_GB2312" w:cs="仿宋_GB2312"/>
          <w:color w:val="000000"/>
          <w:kern w:val="0"/>
          <w:sz w:val="32"/>
          <w:szCs w:val="32"/>
          <w:u w:val="none" w:color="auto"/>
          <w:lang w:val="en-US" w:eastAsia="zh-CN"/>
        </w:rPr>
        <w:t>300</w:t>
      </w:r>
      <w:r>
        <w:rPr>
          <w:rFonts w:hint="eastAsia" w:ascii="仿宋_GB2312" w:hAnsi="仿宋_GB2312" w:eastAsia="仿宋_GB2312" w:cs="仿宋_GB2312"/>
          <w:color w:val="000000"/>
          <w:kern w:val="0"/>
          <w:sz w:val="32"/>
          <w:szCs w:val="32"/>
          <w:u w:val="none" w:color="auto"/>
        </w:rPr>
        <w:t>万元，执行数为</w:t>
      </w:r>
      <w:r>
        <w:rPr>
          <w:rFonts w:hint="eastAsia" w:ascii="仿宋_GB2312" w:hAnsi="仿宋_GB2312" w:eastAsia="仿宋_GB2312" w:cs="仿宋_GB2312"/>
          <w:color w:val="000000"/>
          <w:kern w:val="0"/>
          <w:sz w:val="32"/>
          <w:szCs w:val="32"/>
          <w:u w:val="none" w:color="auto"/>
          <w:lang w:val="en-US" w:eastAsia="zh-CN"/>
        </w:rPr>
        <w:t>79</w:t>
      </w:r>
      <w:r>
        <w:rPr>
          <w:rFonts w:hint="eastAsia" w:ascii="仿宋_GB2312" w:hAnsi="仿宋_GB2312" w:eastAsia="仿宋_GB2312" w:cs="仿宋_GB2312"/>
          <w:color w:val="000000"/>
          <w:kern w:val="0"/>
          <w:sz w:val="32"/>
          <w:szCs w:val="32"/>
          <w:u w:val="none" w:color="auto"/>
        </w:rPr>
        <w:t>万元，完成</w:t>
      </w:r>
      <w:r>
        <w:rPr>
          <w:rFonts w:hint="eastAsia" w:ascii="仿宋_GB2312" w:hAnsi="仿宋_GB2312" w:eastAsia="仿宋_GB2312" w:cs="仿宋_GB2312"/>
          <w:color w:val="000000"/>
          <w:kern w:val="0"/>
          <w:sz w:val="32"/>
          <w:szCs w:val="32"/>
        </w:rPr>
        <w:t>预算的</w:t>
      </w:r>
      <w:r>
        <w:rPr>
          <w:rFonts w:hint="eastAsia" w:ascii="仿宋_GB2312" w:hAnsi="仿宋_GB2312" w:eastAsia="仿宋_GB2312" w:cs="仿宋_GB2312"/>
          <w:color w:val="000000"/>
          <w:kern w:val="0"/>
          <w:sz w:val="32"/>
          <w:szCs w:val="32"/>
          <w:lang w:val="en-US" w:eastAsia="zh-CN"/>
        </w:rPr>
        <w:t>26.33</w:t>
      </w:r>
      <w:r>
        <w:rPr>
          <w:rFonts w:hint="eastAsia" w:ascii="仿宋_GB2312" w:hAnsi="仿宋_GB2312" w:eastAsia="仿宋_GB2312" w:cs="仿宋_GB2312"/>
          <w:color w:val="000000"/>
          <w:kern w:val="0"/>
          <w:sz w:val="32"/>
          <w:szCs w:val="32"/>
        </w:rPr>
        <w:t>%。项目绩效目标完成情况：</w:t>
      </w:r>
      <w:r>
        <w:rPr>
          <w:rFonts w:hint="eastAsia" w:ascii="仿宋_GB2312" w:hAnsi="仿宋_GB2312" w:eastAsia="仿宋_GB2312" w:cs="仿宋_GB2312"/>
          <w:color w:val="000000" w:themeColor="text1"/>
          <w:kern w:val="0"/>
          <w:sz w:val="32"/>
          <w:szCs w:val="32"/>
          <w:lang w:val="en-US" w:eastAsia="zh-CN"/>
        </w:rPr>
        <w:t>该项目本年度目标已完成，剩余结转下年度继续完成</w:t>
      </w:r>
      <w:r>
        <w:rPr>
          <w:rFonts w:hint="eastAsia" w:ascii="仿宋_GB2312" w:hAnsi="仿宋_GB2312" w:eastAsia="仿宋_GB2312" w:cs="仿宋_GB2312"/>
          <w:color w:val="000000" w:themeColor="text1"/>
          <w:kern w:val="0"/>
          <w:sz w:val="32"/>
          <w:szCs w:val="32"/>
        </w:rPr>
        <w:t>。发现的主要问题及原因：</w:t>
      </w:r>
      <w:r>
        <w:rPr>
          <w:rFonts w:hint="eastAsia" w:ascii="仿宋_GB2312" w:hAnsi="仿宋_GB2312" w:eastAsia="仿宋_GB2312" w:cs="仿宋_GB2312"/>
          <w:color w:val="000000" w:themeColor="text1"/>
          <w:kern w:val="0"/>
          <w:sz w:val="32"/>
          <w:szCs w:val="32"/>
          <w:lang w:val="en-US" w:eastAsia="zh-CN"/>
        </w:rPr>
        <w:t>绩效目标管理不够科学完善</w:t>
      </w:r>
      <w:r>
        <w:rPr>
          <w:rFonts w:hint="eastAsia" w:ascii="仿宋_GB2312" w:hAnsi="仿宋_GB2312" w:eastAsia="仿宋_GB2312" w:cs="仿宋_GB2312"/>
          <w:color w:val="000000" w:themeColor="text1"/>
          <w:kern w:val="0"/>
          <w:sz w:val="32"/>
          <w:szCs w:val="32"/>
        </w:rPr>
        <w:t>。下一步改进措施：</w:t>
      </w:r>
      <w:r>
        <w:rPr>
          <w:rFonts w:hint="eastAsia" w:ascii="仿宋_GB2312" w:hAnsi="仿宋_GB2312" w:eastAsia="仿宋_GB2312" w:cs="仿宋_GB2312"/>
          <w:color w:val="000000" w:themeColor="text1"/>
          <w:kern w:val="0"/>
          <w:sz w:val="32"/>
          <w:szCs w:val="32"/>
          <w:lang w:val="en-US" w:eastAsia="zh-CN"/>
        </w:rPr>
        <w:t>提高绩效管理科学性合理性，加强预算资金使用效率</w:t>
      </w:r>
      <w:r>
        <w:rPr>
          <w:rFonts w:hint="eastAsia" w:ascii="仿宋_GB2312" w:hAnsi="仿宋_GB2312" w:eastAsia="仿宋_GB2312" w:cs="仿宋_GB2312"/>
          <w:color w:val="000000" w:themeColor="text1"/>
          <w:kern w:val="0"/>
          <w:sz w:val="32"/>
          <w:szCs w:val="32"/>
        </w:rPr>
        <w:t>。</w:t>
      </w:r>
    </w:p>
    <w:p w14:paraId="6DB7A3B5">
      <w:pPr>
        <w:widowControl/>
        <w:spacing w:before="240" w:after="240"/>
        <w:ind w:firstLine="320" w:firstLineChars="100"/>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kern w:val="0"/>
          <w:sz w:val="32"/>
          <w:szCs w:val="32"/>
          <w:lang w:val="en-US" w:eastAsia="zh-CN"/>
        </w:rPr>
        <w:t xml:space="preserve"> 5</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其他办公费</w:t>
      </w:r>
      <w:r>
        <w:rPr>
          <w:rFonts w:hint="eastAsia" w:ascii="仿宋_GB2312" w:hAnsi="仿宋_GB2312" w:eastAsia="仿宋_GB2312" w:cs="仿宋_GB2312"/>
          <w:color w:val="000000"/>
          <w:kern w:val="0"/>
          <w:sz w:val="32"/>
          <w:szCs w:val="32"/>
        </w:rPr>
        <w:t>项目自评综述：根据年初设定的绩效目标，项目</w:t>
      </w:r>
      <w:r>
        <w:rPr>
          <w:rFonts w:hint="eastAsia" w:ascii="仿宋_GB2312" w:hAnsi="仿宋_GB2312" w:eastAsia="仿宋_GB2312" w:cs="仿宋_GB2312"/>
          <w:color w:val="000000"/>
          <w:kern w:val="0"/>
          <w:sz w:val="32"/>
          <w:szCs w:val="32"/>
          <w:u w:val="none" w:color="auto"/>
        </w:rPr>
        <w:t>自评得分</w:t>
      </w:r>
      <w:r>
        <w:rPr>
          <w:rFonts w:hint="eastAsia" w:ascii="仿宋_GB2312" w:hAnsi="仿宋_GB2312" w:eastAsia="仿宋_GB2312" w:cs="仿宋_GB2312"/>
          <w:color w:val="000000"/>
          <w:kern w:val="0"/>
          <w:sz w:val="32"/>
          <w:szCs w:val="32"/>
          <w:u w:val="none" w:color="auto"/>
          <w:lang w:val="en-US" w:eastAsia="zh-CN"/>
        </w:rPr>
        <w:t>87</w:t>
      </w:r>
      <w:r>
        <w:rPr>
          <w:rFonts w:hint="eastAsia" w:ascii="仿宋_GB2312" w:hAnsi="仿宋_GB2312" w:eastAsia="仿宋_GB2312" w:cs="仿宋_GB2312"/>
          <w:color w:val="000000"/>
          <w:kern w:val="0"/>
          <w:sz w:val="32"/>
          <w:szCs w:val="32"/>
          <w:u w:val="none" w:color="auto"/>
        </w:rPr>
        <w:t>分。全年预算数为</w:t>
      </w:r>
      <w:r>
        <w:rPr>
          <w:rFonts w:hint="eastAsia" w:ascii="仿宋_GB2312" w:hAnsi="仿宋_GB2312" w:eastAsia="仿宋_GB2312" w:cs="仿宋_GB2312"/>
          <w:color w:val="000000"/>
          <w:kern w:val="0"/>
          <w:sz w:val="32"/>
          <w:szCs w:val="32"/>
          <w:u w:val="none" w:color="auto"/>
          <w:lang w:val="en-US" w:eastAsia="zh-CN"/>
        </w:rPr>
        <w:t>12.59</w:t>
      </w:r>
      <w:r>
        <w:rPr>
          <w:rFonts w:hint="eastAsia" w:ascii="仿宋_GB2312" w:hAnsi="仿宋_GB2312" w:eastAsia="仿宋_GB2312" w:cs="仿宋_GB2312"/>
          <w:color w:val="000000"/>
          <w:kern w:val="0"/>
          <w:sz w:val="32"/>
          <w:szCs w:val="32"/>
          <w:u w:val="none" w:color="auto"/>
        </w:rPr>
        <w:t>万元，执行数为</w:t>
      </w:r>
      <w:r>
        <w:rPr>
          <w:rFonts w:hint="eastAsia" w:ascii="仿宋_GB2312" w:hAnsi="仿宋_GB2312" w:eastAsia="仿宋_GB2312" w:cs="仿宋_GB2312"/>
          <w:color w:val="000000"/>
          <w:kern w:val="0"/>
          <w:sz w:val="32"/>
          <w:szCs w:val="32"/>
          <w:u w:val="none" w:color="auto"/>
          <w:lang w:val="en-US" w:eastAsia="zh-CN"/>
        </w:rPr>
        <w:t>12.59</w:t>
      </w:r>
      <w:r>
        <w:rPr>
          <w:rFonts w:hint="eastAsia" w:ascii="仿宋_GB2312" w:hAnsi="仿宋_GB2312" w:eastAsia="仿宋_GB2312" w:cs="仿宋_GB2312"/>
          <w:color w:val="000000"/>
          <w:kern w:val="0"/>
          <w:sz w:val="32"/>
          <w:szCs w:val="32"/>
          <w:u w:val="none" w:color="auto"/>
        </w:rPr>
        <w:t>万元，完成</w:t>
      </w:r>
      <w:r>
        <w:rPr>
          <w:rFonts w:hint="eastAsia" w:ascii="仿宋_GB2312" w:hAnsi="仿宋_GB2312" w:eastAsia="仿宋_GB2312" w:cs="仿宋_GB2312"/>
          <w:color w:val="000000"/>
          <w:kern w:val="0"/>
          <w:sz w:val="32"/>
          <w:szCs w:val="32"/>
        </w:rPr>
        <w:t>预算的</w:t>
      </w:r>
      <w:r>
        <w:rPr>
          <w:rFonts w:hint="eastAsia" w:ascii="仿宋_GB2312" w:hAnsi="仿宋_GB2312" w:eastAsia="仿宋_GB2312" w:cs="仿宋_GB2312"/>
          <w:color w:val="000000"/>
          <w:kern w:val="0"/>
          <w:sz w:val="32"/>
          <w:szCs w:val="32"/>
          <w:lang w:val="en-US" w:eastAsia="zh-CN"/>
        </w:rPr>
        <w:t>100</w:t>
      </w:r>
      <w:r>
        <w:rPr>
          <w:rFonts w:hint="eastAsia" w:ascii="仿宋_GB2312" w:hAnsi="仿宋_GB2312" w:eastAsia="仿宋_GB2312" w:cs="仿宋_GB2312"/>
          <w:color w:val="000000"/>
          <w:kern w:val="0"/>
          <w:sz w:val="32"/>
          <w:szCs w:val="32"/>
        </w:rPr>
        <w:t>%。项目绩效目标完成情况：</w:t>
      </w:r>
      <w:r>
        <w:rPr>
          <w:rFonts w:hint="eastAsia" w:ascii="仿宋_GB2312" w:hAnsi="仿宋_GB2312" w:eastAsia="仿宋_GB2312" w:cs="仿宋_GB2312"/>
          <w:color w:val="000000" w:themeColor="text1"/>
          <w:kern w:val="0"/>
          <w:sz w:val="32"/>
          <w:szCs w:val="32"/>
          <w:lang w:val="en-US" w:eastAsia="zh-CN"/>
        </w:rPr>
        <w:t>该项目本年度目标已完成</w:t>
      </w:r>
      <w:r>
        <w:rPr>
          <w:rFonts w:hint="eastAsia" w:ascii="仿宋_GB2312" w:hAnsi="仿宋_GB2312" w:eastAsia="仿宋_GB2312" w:cs="仿宋_GB2312"/>
          <w:color w:val="000000" w:themeColor="text1"/>
          <w:kern w:val="0"/>
          <w:sz w:val="32"/>
          <w:szCs w:val="32"/>
        </w:rPr>
        <w:t>。发现的主要问题及原因：</w:t>
      </w:r>
      <w:r>
        <w:rPr>
          <w:rFonts w:hint="eastAsia" w:ascii="仿宋_GB2312" w:hAnsi="仿宋_GB2312" w:eastAsia="仿宋_GB2312" w:cs="仿宋_GB2312"/>
          <w:color w:val="000000" w:themeColor="text1"/>
          <w:kern w:val="0"/>
          <w:sz w:val="32"/>
          <w:szCs w:val="32"/>
          <w:lang w:val="en-US" w:eastAsia="zh-CN"/>
        </w:rPr>
        <w:t>绩效目标管理不够科学完善</w:t>
      </w:r>
      <w:r>
        <w:rPr>
          <w:rFonts w:hint="eastAsia" w:ascii="仿宋_GB2312" w:hAnsi="仿宋_GB2312" w:eastAsia="仿宋_GB2312" w:cs="仿宋_GB2312"/>
          <w:color w:val="000000" w:themeColor="text1"/>
          <w:kern w:val="0"/>
          <w:sz w:val="32"/>
          <w:szCs w:val="32"/>
        </w:rPr>
        <w:t>。下一步改进措施：</w:t>
      </w:r>
      <w:r>
        <w:rPr>
          <w:rFonts w:hint="eastAsia" w:ascii="仿宋_GB2312" w:hAnsi="仿宋_GB2312" w:eastAsia="仿宋_GB2312" w:cs="仿宋_GB2312"/>
          <w:color w:val="000000" w:themeColor="text1"/>
          <w:kern w:val="0"/>
          <w:sz w:val="32"/>
          <w:szCs w:val="32"/>
          <w:lang w:val="en-US" w:eastAsia="zh-CN"/>
        </w:rPr>
        <w:t>提高绩效管理科学性合理性，加强预算资金使用效率</w:t>
      </w:r>
      <w:r>
        <w:rPr>
          <w:rFonts w:hint="eastAsia" w:ascii="仿宋_GB2312" w:hAnsi="仿宋_GB2312" w:eastAsia="仿宋_GB2312" w:cs="仿宋_GB2312"/>
          <w:color w:val="000000" w:themeColor="text1"/>
          <w:kern w:val="0"/>
          <w:sz w:val="32"/>
          <w:szCs w:val="32"/>
        </w:rPr>
        <w:t>。</w:t>
      </w:r>
    </w:p>
    <w:p w14:paraId="1AB59ACB">
      <w:pPr>
        <w:widowControl/>
        <w:spacing w:before="240" w:after="240"/>
        <w:ind w:firstLine="640" w:firstLineChars="200"/>
        <w:jc w:val="left"/>
        <w:rPr>
          <w:rFonts w:ascii="Times New Roman" w:hAnsi="Times New Roman" w:eastAsia="Times New Roman" w:cs="Times New Roman"/>
          <w:kern w:val="0"/>
          <w:sz w:val="32"/>
          <w:szCs w:val="32"/>
        </w:rPr>
      </w:pPr>
      <w:r>
        <w:rPr>
          <w:rFonts w:ascii="kai_ti_gb2312" w:hAnsi="kai_ti_gb2312" w:eastAsia="kai_ti_gb2312" w:cs="kai_ti_gb2312"/>
          <w:b/>
          <w:bCs/>
          <w:kern w:val="0"/>
          <w:sz w:val="32"/>
          <w:szCs w:val="32"/>
        </w:rPr>
        <w:t>（三）部门项目绩效评价结果。</w:t>
      </w:r>
    </w:p>
    <w:p w14:paraId="4C607939">
      <w:pPr>
        <w:widowControl/>
        <w:spacing w:before="240" w:after="240"/>
        <w:jc w:val="left"/>
        <w:rPr>
          <w:rFonts w:hint="default" w:ascii="仿宋_GB2312" w:hAnsi="仿宋_GB2312" w:eastAsia="仿宋_GB2312" w:cs="仿宋_GB2312"/>
          <w:kern w:val="0"/>
          <w:sz w:val="32"/>
          <w:szCs w:val="32"/>
          <w:u w:val="none"/>
          <w:lang w:val="en-US" w:eastAsia="zh-CN"/>
        </w:rPr>
      </w:pPr>
      <w:r>
        <w:rPr>
          <w:rFonts w:ascii="仿宋_GB2312" w:hAnsi="仿宋_GB2312" w:eastAsia="仿宋_GB2312" w:cs="仿宋_GB2312"/>
          <w:kern w:val="0"/>
          <w:sz w:val="32"/>
          <w:szCs w:val="32"/>
        </w:rPr>
        <w:t xml:space="preserve">    </w:t>
      </w:r>
      <w:r>
        <w:rPr>
          <w:rFonts w:hint="eastAsia" w:ascii="仿宋_GB2312" w:hAnsi="仿宋_GB2312" w:eastAsia="仿宋_GB2312" w:cs="仿宋_GB2312"/>
          <w:color w:val="000000"/>
          <w:kern w:val="0"/>
          <w:sz w:val="32"/>
          <w:szCs w:val="32"/>
          <w:u w:val="none"/>
          <w:lang w:val="en-US" w:eastAsia="zh-CN"/>
        </w:rPr>
        <w:t>全旗办公楼维修</w:t>
      </w:r>
      <w:r>
        <w:rPr>
          <w:rFonts w:hint="eastAsia" w:ascii="仿宋_GB2312" w:hAnsi="仿宋_GB2312" w:eastAsia="仿宋_GB2312" w:cs="仿宋_GB2312"/>
          <w:kern w:val="0"/>
          <w:sz w:val="32"/>
          <w:szCs w:val="32"/>
          <w:u w:val="none"/>
        </w:rPr>
        <w:t>项目绩效评价综合得分为</w:t>
      </w:r>
      <w:r>
        <w:rPr>
          <w:rFonts w:hint="eastAsia" w:ascii="仿宋_GB2312" w:hAnsi="仿宋_GB2312" w:eastAsia="仿宋_GB2312" w:cs="仿宋_GB2312"/>
          <w:kern w:val="0"/>
          <w:sz w:val="32"/>
          <w:szCs w:val="32"/>
          <w:u w:val="none"/>
          <w:lang w:val="en-US" w:eastAsia="zh-CN"/>
        </w:rPr>
        <w:t>90</w:t>
      </w:r>
      <w:r>
        <w:rPr>
          <w:rFonts w:hint="eastAsia" w:ascii="仿宋_GB2312" w:hAnsi="仿宋_GB2312" w:eastAsia="仿宋_GB2312" w:cs="仿宋_GB2312"/>
          <w:kern w:val="0"/>
          <w:sz w:val="32"/>
          <w:szCs w:val="32"/>
          <w:u w:val="none"/>
        </w:rPr>
        <w:t>分，绩效评价结果为“优”。</w:t>
      </w:r>
      <w:r>
        <w:rPr>
          <w:rFonts w:hint="eastAsia" w:ascii="仿宋_GB2312" w:hAnsi="仿宋_GB2312" w:eastAsia="仿宋_GB2312" w:cs="仿宋_GB2312"/>
          <w:kern w:val="0"/>
          <w:sz w:val="32"/>
          <w:szCs w:val="32"/>
          <w:u w:val="none"/>
          <w:lang w:val="en-US" w:eastAsia="zh-CN"/>
        </w:rPr>
        <w:t>该项目设定绩效目标较科学合理，符合本部部门实际需要，预算资金拨付及时，保障该项目按期完成。</w:t>
      </w:r>
    </w:p>
    <w:p w14:paraId="44A2102A">
      <w:pPr>
        <w:widowControl/>
        <w:spacing w:before="240" w:after="240"/>
        <w:jc w:val="left"/>
        <w:rPr>
          <w:rFonts w:hint="eastAsia" w:ascii="仿宋_GB2312" w:hAnsi="仿宋_GB2312" w:eastAsia="仿宋_GB2312" w:cs="仿宋_GB2312"/>
          <w:color w:val="0E00FE"/>
          <w:kern w:val="0"/>
          <w:sz w:val="32"/>
          <w:szCs w:val="32"/>
          <w:lang w:val="en-US" w:eastAsia="zh-CN"/>
        </w:rPr>
      </w:pPr>
      <w:r>
        <w:rPr>
          <w:rFonts w:ascii="仿宋_GB2312" w:hAnsi="仿宋_GB2312" w:eastAsia="仿宋_GB2312" w:cs="仿宋_GB2312"/>
          <w:color w:val="0E00FE"/>
          <w:kern w:val="0"/>
          <w:sz w:val="32"/>
          <w:szCs w:val="32"/>
        </w:rPr>
        <w:t>   </w:t>
      </w:r>
      <w:r>
        <w:rPr>
          <w:rFonts w:hint="eastAsia" w:ascii="仿宋_GB2312" w:hAnsi="仿宋_GB2312" w:eastAsia="仿宋_GB2312" w:cs="仿宋_GB2312"/>
          <w:color w:val="0E00FE"/>
          <w:kern w:val="0"/>
          <w:sz w:val="32"/>
          <w:szCs w:val="32"/>
          <w:lang w:val="en-US" w:eastAsia="zh-CN"/>
        </w:rPr>
        <w:t xml:space="preserve">   </w:t>
      </w:r>
      <w:bookmarkStart w:id="1" w:name="_GoBack"/>
      <w:bookmarkEnd w:id="1"/>
    </w:p>
    <w:p w14:paraId="306F747F">
      <w:pPr>
        <w:widowControl/>
        <w:spacing w:before="240" w:after="240"/>
        <w:ind w:firstLine="2881" w:firstLineChars="900"/>
        <w:jc w:val="left"/>
        <w:rPr>
          <w:rFonts w:ascii="Times New Roman" w:hAnsi="Times New Roman" w:eastAsia="Times New Roman" w:cs="Times New Roman"/>
          <w:b/>
          <w:bCs/>
          <w:kern w:val="0"/>
          <w:sz w:val="32"/>
          <w:szCs w:val="32"/>
        </w:rPr>
      </w:pPr>
      <w:r>
        <w:rPr>
          <w:rFonts w:ascii="fang_zheng_xiao_biao_song_ti" w:hAnsi="fang_zheng_xiao_biao_song_ti" w:eastAsia="fang_zheng_xiao_biao_song_ti" w:cs="fang_zheng_xiao_biao_song_ti"/>
          <w:b/>
          <w:bCs/>
          <w:kern w:val="0"/>
          <w:sz w:val="32"/>
          <w:szCs w:val="32"/>
        </w:rPr>
        <w:t>第三部分 名词解释</w:t>
      </w:r>
    </w:p>
    <w:p w14:paraId="24B41CB5">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一、财政拨款收入：</w:t>
      </w:r>
      <w:r>
        <w:rPr>
          <w:rFonts w:ascii="仿宋_GB2312" w:hAnsi="仿宋_GB2312" w:eastAsia="仿宋_GB2312" w:cs="仿宋_GB2312"/>
          <w:kern w:val="0"/>
          <w:sz w:val="32"/>
          <w:szCs w:val="32"/>
        </w:rPr>
        <w:t>从同级财政部门取得的各类财政拨款，包括一般公共预算财政拨款、政府性基金预算财政拨款、国有资本经营预算财政拨款。</w:t>
      </w:r>
    </w:p>
    <w:p w14:paraId="3F315C8B">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二、上级补助收入：</w:t>
      </w:r>
      <w:r>
        <w:rPr>
          <w:rFonts w:ascii="仿宋_GB2312" w:hAnsi="仿宋_GB2312" w:eastAsia="仿宋_GB2312" w:cs="仿宋_GB2312"/>
          <w:kern w:val="0"/>
          <w:sz w:val="32"/>
          <w:szCs w:val="32"/>
        </w:rPr>
        <w:t>指事业单位从主管部门和上级单位取得的非财政补助收入。</w:t>
      </w:r>
    </w:p>
    <w:p w14:paraId="21BAC60E">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三、财政专户管理教育收费：</w:t>
      </w:r>
      <w:r>
        <w:rPr>
          <w:rFonts w:ascii="仿宋_GB2312" w:hAnsi="仿宋_GB2312" w:eastAsia="仿宋_GB2312" w:cs="仿宋_GB2312"/>
          <w:kern w:val="0"/>
          <w:sz w:val="32"/>
          <w:szCs w:val="32"/>
        </w:rPr>
        <w:t>指缴入财政专户、实行专项管理的高中以上学费、住宿费、高校委托培养费、函大、电大、夜大及短训班培训费等教育收费。</w:t>
      </w:r>
    </w:p>
    <w:p w14:paraId="39F81E4E">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四、事业收入：</w:t>
      </w:r>
      <w:r>
        <w:rPr>
          <w:rFonts w:ascii="仿宋_GB2312" w:hAnsi="仿宋_GB2312" w:eastAsia="仿宋_GB2312" w:cs="仿宋_GB2312"/>
          <w:kern w:val="0"/>
          <w:sz w:val="32"/>
          <w:szCs w:val="32"/>
        </w:rPr>
        <w:t>指事业单位开展专业业务活动及其辅助活动取得的收入。</w:t>
      </w:r>
    </w:p>
    <w:p w14:paraId="65A06BA8">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五、经营收入：</w:t>
      </w:r>
      <w:r>
        <w:rPr>
          <w:rFonts w:ascii="仿宋_GB2312" w:hAnsi="仿宋_GB2312" w:eastAsia="仿宋_GB2312" w:cs="仿宋_GB2312"/>
          <w:kern w:val="0"/>
          <w:sz w:val="32"/>
          <w:szCs w:val="32"/>
        </w:rPr>
        <w:t>指事业单位在专业业务活动及其辅助活动之外开展非独立核算经营活动取得的收入。</w:t>
      </w:r>
    </w:p>
    <w:p w14:paraId="31D4B627">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六、附属单位上缴收入：</w:t>
      </w:r>
      <w:r>
        <w:rPr>
          <w:rFonts w:ascii="仿宋_GB2312" w:hAnsi="仿宋_GB2312" w:eastAsia="仿宋_GB2312" w:cs="仿宋_GB2312"/>
          <w:kern w:val="0"/>
          <w:sz w:val="32"/>
          <w:szCs w:val="32"/>
        </w:rPr>
        <w:t>指事业单位取得附属独立核算单位按照有关规定上缴的收入。</w:t>
      </w:r>
    </w:p>
    <w:p w14:paraId="3C5AE1AB">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七、其他收入：</w:t>
      </w:r>
      <w:r>
        <w:rPr>
          <w:rFonts w:ascii="仿宋_GB2312" w:hAnsi="仿宋_GB2312" w:eastAsia="仿宋_GB2312" w:cs="仿宋_GB2312"/>
          <w:kern w:val="0"/>
          <w:sz w:val="32"/>
          <w:szCs w:val="32"/>
        </w:rPr>
        <w:t>取得的除上述财政拨款收入、上级补助收入、事业收入、经营收入、附属单位上缴收入等以外的各项收入。</w:t>
      </w:r>
    </w:p>
    <w:p w14:paraId="1C1FAE12">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八、使用非财政拨款结余（含专用结余）：</w:t>
      </w:r>
      <w:r>
        <w:rPr>
          <w:rFonts w:ascii="仿宋_GB2312" w:hAnsi="仿宋_GB2312" w:eastAsia="仿宋_GB2312" w:cs="仿宋_GB2312"/>
          <w:kern w:val="0"/>
          <w:sz w:val="32"/>
          <w:szCs w:val="32"/>
        </w:rPr>
        <w:t>指事业单位按照预算管理要求使用非财政拨款结余</w:t>
      </w:r>
      <w:r>
        <w:rPr>
          <w:rFonts w:ascii="仿宋_GB2312" w:hAnsi="仿宋_GB2312" w:eastAsia="仿宋_GB2312" w:cs="仿宋_GB2312"/>
          <w:color w:val="000000"/>
          <w:kern w:val="0"/>
          <w:sz w:val="32"/>
          <w:szCs w:val="32"/>
        </w:rPr>
        <w:t>弥补收支差额的金额，以及使用专用结余安排支出的金额。</w:t>
      </w:r>
    </w:p>
    <w:p w14:paraId="7565FC5D">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九、年初结转和结余：</w:t>
      </w:r>
      <w:r>
        <w:rPr>
          <w:rFonts w:ascii="仿宋_GB2312" w:hAnsi="仿宋_GB2312" w:eastAsia="仿宋_GB2312" w:cs="仿宋_GB2312"/>
          <w:kern w:val="0"/>
          <w:sz w:val="32"/>
          <w:szCs w:val="32"/>
        </w:rPr>
        <w:t>指单位上年结转本年使用的基本支出结转、项目支出结转和结余、经营结余。</w:t>
      </w:r>
    </w:p>
    <w:p w14:paraId="7777A36D">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十、结余分配：</w:t>
      </w:r>
      <w:r>
        <w:rPr>
          <w:rFonts w:ascii="仿宋_GB2312" w:hAnsi="仿宋_GB2312" w:eastAsia="仿宋_GB2312" w:cs="仿宋_GB2312"/>
          <w:kern w:val="0"/>
          <w:sz w:val="32"/>
          <w:szCs w:val="32"/>
        </w:rPr>
        <w:t>指单位按规定缴纳企业所得税以及从非财政拨款结余或经营结余中提取各类结余的情况。</w:t>
      </w:r>
    </w:p>
    <w:p w14:paraId="3E666636">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十一、年末结转和结余资金：</w:t>
      </w:r>
      <w:r>
        <w:rPr>
          <w:rFonts w:ascii="仿宋_GB2312" w:hAnsi="仿宋_GB2312" w:eastAsia="仿宋_GB2312" w:cs="仿宋_GB2312"/>
          <w:kern w:val="0"/>
          <w:sz w:val="32"/>
          <w:szCs w:val="32"/>
        </w:rPr>
        <w:t>指单位结转下年的基本支出结转、项目支出结转和结余、经营结余。</w:t>
      </w:r>
    </w:p>
    <w:p w14:paraId="17971C5E">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十二、基本支出：</w:t>
      </w:r>
      <w:r>
        <w:rPr>
          <w:rFonts w:ascii="仿宋_GB2312" w:hAnsi="仿宋_GB2312" w:eastAsia="仿宋_GB2312" w:cs="仿宋_GB2312"/>
          <w:kern w:val="0"/>
          <w:sz w:val="32"/>
          <w:szCs w:val="32"/>
        </w:rPr>
        <w:t>指为保障机构正常运转、完成日常工作任务所发生的支出，包括人员经费和公用经费。</w:t>
      </w:r>
    </w:p>
    <w:p w14:paraId="5DDEBB95">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十三、项目支出：</w:t>
      </w:r>
      <w:r>
        <w:rPr>
          <w:rFonts w:ascii="仿宋_GB2312" w:hAnsi="仿宋_GB2312" w:eastAsia="仿宋_GB2312" w:cs="仿宋_GB2312"/>
          <w:kern w:val="0"/>
          <w:sz w:val="32"/>
          <w:szCs w:val="32"/>
        </w:rPr>
        <w:t>指在为完成特定的行政工作任务或事业发展目标所发生的支出。</w:t>
      </w:r>
    </w:p>
    <w:p w14:paraId="0F3BC751">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十四、上缴上级支出：</w:t>
      </w:r>
      <w:r>
        <w:rPr>
          <w:rFonts w:ascii="仿宋_GB2312" w:hAnsi="仿宋_GB2312" w:eastAsia="仿宋_GB2312" w:cs="仿宋_GB2312"/>
          <w:kern w:val="0"/>
          <w:sz w:val="32"/>
          <w:szCs w:val="32"/>
        </w:rPr>
        <w:t>指事业单位按照财政部门和主管部门的规定上缴上级单位的支出。</w:t>
      </w:r>
    </w:p>
    <w:p w14:paraId="0ED11CA9">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十五、经营支出：</w:t>
      </w:r>
      <w:r>
        <w:rPr>
          <w:rFonts w:ascii="仿宋_GB2312" w:hAnsi="仿宋_GB2312" w:eastAsia="仿宋_GB2312" w:cs="仿宋_GB2312"/>
          <w:kern w:val="0"/>
          <w:sz w:val="32"/>
          <w:szCs w:val="32"/>
        </w:rPr>
        <w:t>指事业单位在专业业务活动及其辅助活动之外开展非独立核算经营活动发生的支出。</w:t>
      </w:r>
    </w:p>
    <w:p w14:paraId="02026BB0">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十六、对附属单位补助支出：</w:t>
      </w:r>
      <w:r>
        <w:rPr>
          <w:rFonts w:ascii="仿宋_GB2312" w:hAnsi="仿宋_GB2312" w:eastAsia="仿宋_GB2312" w:cs="仿宋_GB2312"/>
          <w:kern w:val="0"/>
          <w:sz w:val="32"/>
          <w:szCs w:val="32"/>
        </w:rPr>
        <w:t>指事业单位用财政拨款收入之外的收入对附属单位补助发生的支出。</w:t>
      </w:r>
    </w:p>
    <w:p w14:paraId="44EADCBA">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十七、“三公”经费：</w:t>
      </w:r>
      <w:r>
        <w:rPr>
          <w:rFonts w:ascii="仿宋_GB2312" w:hAnsi="仿宋_GB2312" w:eastAsia="仿宋_GB2312" w:cs="仿宋_GB2312"/>
          <w:kern w:val="0"/>
          <w:sz w:val="32"/>
          <w:szCs w:val="32"/>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402C8802">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b/>
          <w:bCs/>
          <w:kern w:val="0"/>
          <w:sz w:val="32"/>
          <w:szCs w:val="32"/>
        </w:rPr>
        <w:t>    十八、机关运行经费：</w:t>
      </w:r>
      <w:r>
        <w:rPr>
          <w:rFonts w:ascii="仿宋_GB2312" w:hAnsi="仿宋_GB2312" w:eastAsia="仿宋_GB2312" w:cs="仿宋_GB2312"/>
          <w:color w:val="000000"/>
          <w:kern w:val="0"/>
          <w:sz w:val="32"/>
          <w:szCs w:val="32"/>
        </w:rPr>
        <w:t>指行政单位和参照公务员法管理的事业单位财政拨款</w:t>
      </w:r>
      <w:r>
        <w:rPr>
          <w:rFonts w:ascii="仿宋_GB2312" w:hAnsi="仿宋_GB2312" w:eastAsia="仿宋_GB2312" w:cs="仿宋_GB2312"/>
          <w:kern w:val="0"/>
          <w:sz w:val="32"/>
          <w:szCs w:val="32"/>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14:paraId="26E5C6C2">
      <w:pPr>
        <w:widowControl/>
        <w:spacing w:before="240" w:after="240"/>
        <w:jc w:val="left"/>
        <w:rPr>
          <w:rFonts w:ascii="Times New Roman" w:hAnsi="Times New Roman" w:eastAsia="Times New Roman" w:cs="Times New Roman"/>
          <w:kern w:val="0"/>
          <w:sz w:val="32"/>
          <w:szCs w:val="32"/>
        </w:rPr>
      </w:pPr>
    </w:p>
    <w:p w14:paraId="130E7A24">
      <w:pPr>
        <w:pStyle w:val="3"/>
        <w:keepNext w:val="0"/>
        <w:keepLines w:val="0"/>
        <w:widowControl/>
        <w:spacing w:before="299" w:after="299" w:line="240" w:lineRule="auto"/>
        <w:jc w:val="center"/>
        <w:rPr>
          <w:rFonts w:ascii="Times New Roman" w:hAnsi="Times New Roman" w:eastAsia="Times New Roman" w:cs="Times New Roman"/>
          <w:b/>
          <w:bCs/>
          <w:kern w:val="0"/>
          <w:sz w:val="32"/>
          <w:szCs w:val="32"/>
        </w:rPr>
      </w:pPr>
      <w:r>
        <w:rPr>
          <w:rFonts w:ascii="fang_zheng_xiao_biao_song_ti" w:hAnsi="fang_zheng_xiao_biao_song_ti" w:eastAsia="fang_zheng_xiao_biao_song_ti" w:cs="fang_zheng_xiao_biao_song_ti"/>
          <w:kern w:val="0"/>
          <w:sz w:val="32"/>
          <w:szCs w:val="32"/>
        </w:rPr>
        <w:t>第四部分 决算公开联系方式及信息反馈渠道</w:t>
      </w:r>
    </w:p>
    <w:p w14:paraId="081C7F2F">
      <w:pPr>
        <w:widowControl/>
        <w:spacing w:before="240" w:after="240"/>
        <w:jc w:val="left"/>
        <w:rPr>
          <w:rFonts w:ascii="Times New Roman" w:hAnsi="Times New Roman" w:eastAsia="Times New Roman" w:cs="Times New Roman"/>
          <w:kern w:val="0"/>
          <w:sz w:val="32"/>
          <w:szCs w:val="32"/>
        </w:rPr>
      </w:pPr>
    </w:p>
    <w:p w14:paraId="54F7085F">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    本部门（单位）决算公开信息反馈和联系方式：</w:t>
      </w:r>
    </w:p>
    <w:p w14:paraId="2CF5D61D">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    联系人：</w:t>
      </w:r>
      <w:r>
        <w:rPr>
          <w:rFonts w:ascii="仿宋_GB2312" w:hAnsi="仿宋_GB2312" w:eastAsia="仿宋_GB2312" w:cs="仿宋_GB2312"/>
          <w:kern w:val="0"/>
          <w:sz w:val="32"/>
          <w:szCs w:val="32"/>
          <w:u w:val="single"/>
        </w:rPr>
        <w:t>娜仁花 </w:t>
      </w:r>
      <w:r>
        <w:rPr>
          <w:rFonts w:ascii="仿宋_GB2312" w:hAnsi="仿宋_GB2312" w:eastAsia="仿宋_GB2312" w:cs="仿宋_GB2312"/>
          <w:kern w:val="0"/>
          <w:sz w:val="32"/>
          <w:szCs w:val="32"/>
        </w:rPr>
        <w:t>          联系电话：</w:t>
      </w:r>
      <w:r>
        <w:rPr>
          <w:rFonts w:ascii="仿宋_GB2312" w:hAnsi="仿宋_GB2312" w:eastAsia="仿宋_GB2312" w:cs="仿宋_GB2312"/>
          <w:kern w:val="0"/>
          <w:sz w:val="32"/>
          <w:szCs w:val="32"/>
          <w:u w:val="single"/>
        </w:rPr>
        <w:t>0470-8819018- </w:t>
      </w:r>
    </w:p>
    <w:p w14:paraId="5D50AC50">
      <w:pPr>
        <w:widowControl/>
        <w:spacing w:before="240" w:after="240"/>
        <w:jc w:val="left"/>
        <w:rPr>
          <w:rFonts w:ascii="Times New Roman" w:hAnsi="Times New Roman" w:eastAsia="Times New Roman" w:cs="Times New Roman"/>
          <w:kern w:val="0"/>
          <w:sz w:val="32"/>
          <w:szCs w:val="32"/>
        </w:rPr>
      </w:pPr>
    </w:p>
    <w:p w14:paraId="4B67AD17">
      <w:pPr>
        <w:pStyle w:val="3"/>
        <w:keepNext w:val="0"/>
        <w:keepLines w:val="0"/>
        <w:widowControl/>
        <w:spacing w:before="299" w:after="299" w:line="240" w:lineRule="auto"/>
        <w:jc w:val="center"/>
        <w:rPr>
          <w:rFonts w:ascii="Times New Roman" w:hAnsi="Times New Roman" w:eastAsia="Times New Roman" w:cs="Times New Roman"/>
          <w:b/>
          <w:bCs/>
          <w:kern w:val="0"/>
          <w:sz w:val="32"/>
          <w:szCs w:val="32"/>
        </w:rPr>
      </w:pPr>
      <w:r>
        <w:rPr>
          <w:rFonts w:ascii="fang_zheng_xiao_biao_song_ti" w:hAnsi="fang_zheng_xiao_biao_song_ti" w:eastAsia="fang_zheng_xiao_biao_song_ti" w:cs="fang_zheng_xiao_biao_song_ti"/>
          <w:kern w:val="0"/>
          <w:sz w:val="32"/>
          <w:szCs w:val="32"/>
        </w:rPr>
        <w:t>第五部分 部门（单位）决算表</w:t>
      </w:r>
    </w:p>
    <w:p w14:paraId="03760A4F">
      <w:pPr>
        <w:widowControl/>
        <w:spacing w:before="240" w:after="240"/>
        <w:jc w:val="center"/>
        <w:rPr>
          <w:rFonts w:ascii="Times New Roman" w:hAnsi="Times New Roman" w:eastAsia="Times New Roman" w:cs="Times New Roman"/>
          <w:kern w:val="0"/>
          <w:sz w:val="32"/>
          <w:szCs w:val="32"/>
        </w:rPr>
      </w:pPr>
    </w:p>
    <w:p w14:paraId="7B7A0A6F">
      <w:pPr>
        <w:widowControl/>
        <w:spacing w:before="240" w:after="240"/>
        <w:jc w:val="left"/>
        <w:rPr>
          <w:rFonts w:ascii="Times New Roman" w:hAnsi="Times New Roman" w:eastAsia="Times New Roman" w:cs="Times New Roman"/>
          <w:kern w:val="0"/>
          <w:sz w:val="32"/>
          <w:szCs w:val="32"/>
        </w:rPr>
      </w:pPr>
      <w:r>
        <w:rPr>
          <w:rFonts w:ascii="仿宋_GB2312" w:hAnsi="仿宋_GB2312" w:eastAsia="仿宋_GB2312" w:cs="仿宋_GB2312"/>
          <w:kern w:val="0"/>
          <w:sz w:val="32"/>
          <w:szCs w:val="32"/>
        </w:rPr>
        <w:t>    见附件。</w:t>
      </w:r>
    </w:p>
    <w:p w14:paraId="125E43C9">
      <w:pPr>
        <w:widowControl/>
        <w:spacing w:before="240" w:after="240"/>
        <w:jc w:val="left"/>
        <w:rPr>
          <w:rFonts w:ascii="Times New Roman" w:hAnsi="Times New Roman" w:eastAsia="Times New Roman" w:cs="Times New Roman"/>
          <w:kern w:val="0"/>
          <w:sz w:val="32"/>
          <w:szCs w:val="32"/>
        </w:rPr>
      </w:pPr>
    </w:p>
    <w:p w14:paraId="2BBF2279">
      <w:pPr>
        <w:widowControl/>
        <w:spacing w:before="240" w:after="240"/>
        <w:jc w:val="left"/>
        <w:rPr>
          <w:rFonts w:ascii="Times New Roman" w:hAnsi="Times New Roman" w:eastAsia="Times New Roman" w:cs="Times New Roman"/>
          <w:kern w:val="0"/>
          <w:sz w:val="32"/>
          <w:szCs w:val="32"/>
        </w:rPr>
      </w:pPr>
    </w:p>
    <w:bookmarkEnd w:id="0"/>
    <w:p w14:paraId="064DC7E7">
      <w:pPr>
        <w:tabs>
          <w:tab w:val="left" w:pos="8415"/>
        </w:tabs>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zheng_xiao_biao_song_t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_new_roman">
    <w:altName w:val="Segoe Print"/>
    <w:panose1 w:val="00000000000000000000"/>
    <w:charset w:val="00"/>
    <w:family w:val="auto"/>
    <w:pitch w:val="default"/>
    <w:sig w:usb0="00000000" w:usb1="00000000" w:usb2="00000000" w:usb3="00000000" w:csb0="00000000" w:csb1="00000000"/>
  </w:font>
  <w:font w:name="kai_ti_gb2312">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Copperplate Gothic Light">
    <w:panose1 w:val="020E05070202060204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1D575">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D134">
    <w:pPr>
      <w:pStyle w:val="11"/>
      <w:jc w:val="center"/>
    </w:pPr>
    <w:r>
      <w:fldChar w:fldCharType="begin"/>
    </w:r>
    <w:r>
      <w:instrText xml:space="preserve"> PAGE   \* MERGEFORMAT </w:instrText>
    </w:r>
    <w:r>
      <w:fldChar w:fldCharType="separate"/>
    </w:r>
    <w:r>
      <w:rPr>
        <w:lang w:val="zh-CN"/>
      </w:rPr>
      <w:t>26</w:t>
    </w:r>
    <w:r>
      <w:rPr>
        <w:lang w:val="zh-CN"/>
      </w:rPr>
      <w:fldChar w:fldCharType="end"/>
    </w:r>
  </w:p>
  <w:p w14:paraId="2E0A9122">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D4F5"/>
    <w:multiLevelType w:val="singleLevel"/>
    <w:tmpl w:val="BF20D4F5"/>
    <w:lvl w:ilvl="0" w:tentative="0">
      <w:start w:val="1"/>
      <w:numFmt w:val="chineseCounting"/>
      <w:suff w:val="nothing"/>
      <w:lvlText w:val="（%1）"/>
      <w:lvlJc w:val="left"/>
      <w:pPr>
        <w:ind w:left="446" w:leftChars="0" w:firstLine="0" w:firstLineChars="0"/>
      </w:pPr>
      <w:rPr>
        <w:rFonts w:hint="eastAsia"/>
      </w:rPr>
    </w:lvl>
  </w:abstractNum>
  <w:abstractNum w:abstractNumId="1">
    <w:nsid w:val="118E90C9"/>
    <w:multiLevelType w:val="singleLevel"/>
    <w:tmpl w:val="118E90C9"/>
    <w:lvl w:ilvl="0" w:tentative="0">
      <w:start w:val="1"/>
      <w:numFmt w:val="decimal"/>
      <w:lvlText w:val="%1."/>
      <w:lvlJc w:val="left"/>
      <w:pPr>
        <w:tabs>
          <w:tab w:val="left" w:pos="312"/>
        </w:tabs>
        <w:ind w:left="426" w:leftChars="0" w:firstLine="0" w:firstLineChars="0"/>
      </w:pPr>
    </w:lvl>
  </w:abstractNum>
  <w:abstractNum w:abstractNumId="2">
    <w:nsid w:val="756E2435"/>
    <w:multiLevelType w:val="multilevel"/>
    <w:tmpl w:val="756E2435"/>
    <w:lvl w:ilvl="0" w:tentative="0">
      <w:start w:val="1"/>
      <w:numFmt w:val="decimal"/>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A692A63"/>
    <w:rsid w:val="0C291ECA"/>
    <w:rsid w:val="14264286"/>
    <w:rsid w:val="1E114F52"/>
    <w:rsid w:val="2CF87C86"/>
    <w:rsid w:val="41FA323D"/>
    <w:rsid w:val="4C787DC7"/>
    <w:rsid w:val="4E6A5618"/>
    <w:rsid w:val="503A35E5"/>
    <w:rsid w:val="51CD438B"/>
    <w:rsid w:val="614827CF"/>
    <w:rsid w:val="66F17C64"/>
    <w:rsid w:val="692C6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link w:val="23"/>
    <w:qFormat/>
    <w:uiPriority w:val="0"/>
    <w:pPr>
      <w:keepNext/>
      <w:keepLines/>
      <w:spacing w:before="280" w:after="290" w:line="376" w:lineRule="auto"/>
      <w:outlineLvl w:val="3"/>
    </w:pPr>
    <w:rPr>
      <w:rFonts w:ascii="Cambria" w:hAnsi="Cambria"/>
      <w:b/>
      <w:bCs/>
      <w:sz w:val="28"/>
      <w:szCs w:val="28"/>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toc 5"/>
    <w:basedOn w:val="1"/>
    <w:next w:val="1"/>
    <w:autoRedefine/>
    <w:qFormat/>
    <w:uiPriority w:val="0"/>
    <w:pPr>
      <w:ind w:left="840"/>
      <w:jc w:val="left"/>
    </w:pPr>
    <w:rPr>
      <w:sz w:val="20"/>
      <w:szCs w:val="20"/>
    </w:rPr>
  </w:style>
  <w:style w:type="paragraph" w:styleId="9">
    <w:name w:val="toc 3"/>
    <w:basedOn w:val="1"/>
    <w:next w:val="1"/>
    <w:qFormat/>
    <w:uiPriority w:val="0"/>
    <w:pPr>
      <w:adjustRightInd w:val="0"/>
      <w:snapToGrid w:val="0"/>
      <w:spacing w:line="360" w:lineRule="auto"/>
      <w:ind w:firstLine="400" w:firstLineChars="400"/>
      <w:jc w:val="left"/>
    </w:pPr>
    <w:rPr>
      <w:sz w:val="24"/>
      <w:szCs w:val="20"/>
    </w:rPr>
  </w:style>
  <w:style w:type="paragraph" w:styleId="10">
    <w:name w:val="toc 8"/>
    <w:basedOn w:val="1"/>
    <w:next w:val="1"/>
    <w:autoRedefine/>
    <w:qFormat/>
    <w:uiPriority w:val="0"/>
    <w:pPr>
      <w:ind w:left="1470"/>
      <w:jc w:val="left"/>
    </w:pPr>
    <w:rPr>
      <w:sz w:val="20"/>
      <w:szCs w:val="20"/>
    </w:rPr>
  </w:style>
  <w:style w:type="paragraph" w:styleId="11">
    <w:name w:val="footer"/>
    <w:basedOn w:val="1"/>
    <w:link w:val="26"/>
    <w:qFormat/>
    <w:uiPriority w:val="0"/>
    <w:pPr>
      <w:tabs>
        <w:tab w:val="center" w:pos="4153"/>
        <w:tab w:val="right" w:pos="8306"/>
      </w:tabs>
      <w:snapToGrid w:val="0"/>
      <w:jc w:val="left"/>
    </w:pPr>
    <w:rPr>
      <w:sz w:val="18"/>
      <w:szCs w:val="18"/>
    </w:rPr>
  </w:style>
  <w:style w:type="paragraph" w:styleId="1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adjustRightInd w:val="0"/>
      <w:snapToGrid w:val="0"/>
      <w:spacing w:line="360" w:lineRule="auto"/>
      <w:jc w:val="left"/>
    </w:pPr>
    <w:rPr>
      <w:b/>
      <w:bCs/>
      <w:sz w:val="24"/>
      <w:szCs w:val="20"/>
    </w:rPr>
  </w:style>
  <w:style w:type="paragraph" w:styleId="14">
    <w:name w:val="toc 4"/>
    <w:basedOn w:val="1"/>
    <w:next w:val="1"/>
    <w:autoRedefine/>
    <w:qFormat/>
    <w:uiPriority w:val="0"/>
    <w:pPr>
      <w:ind w:left="630"/>
      <w:jc w:val="left"/>
    </w:pPr>
    <w:rPr>
      <w:sz w:val="20"/>
      <w:szCs w:val="20"/>
    </w:rPr>
  </w:style>
  <w:style w:type="paragraph" w:styleId="15">
    <w:name w:val="toc 6"/>
    <w:basedOn w:val="1"/>
    <w:next w:val="1"/>
    <w:autoRedefine/>
    <w:uiPriority w:val="0"/>
    <w:pPr>
      <w:ind w:left="1050"/>
      <w:jc w:val="left"/>
    </w:pPr>
    <w:rPr>
      <w:sz w:val="20"/>
      <w:szCs w:val="20"/>
    </w:rPr>
  </w:style>
  <w:style w:type="paragraph" w:styleId="16">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7">
    <w:name w:val="toc 9"/>
    <w:basedOn w:val="1"/>
    <w:next w:val="1"/>
    <w:autoRedefine/>
    <w:qFormat/>
    <w:uiPriority w:val="0"/>
    <w:pPr>
      <w:ind w:left="1680"/>
      <w:jc w:val="left"/>
    </w:pPr>
    <w:rPr>
      <w:sz w:val="20"/>
      <w:szCs w:val="20"/>
    </w:rPr>
  </w:style>
  <w:style w:type="paragraph" w:styleId="18">
    <w:name w:val="Normal (Web)"/>
    <w:basedOn w:val="1"/>
    <w:unhideWhenUsed/>
    <w:qFormat/>
    <w:uiPriority w:val="0"/>
    <w:pPr>
      <w:spacing w:before="100" w:beforeAutospacing="1" w:after="100" w:afterAutospacing="1"/>
    </w:pPr>
    <w:rPr>
      <w:sz w:val="24"/>
    </w:rPr>
  </w:style>
  <w:style w:type="character" w:styleId="21">
    <w:name w:val="page number"/>
    <w:basedOn w:val="20"/>
    <w:qFormat/>
    <w:uiPriority w:val="0"/>
  </w:style>
  <w:style w:type="character" w:styleId="22">
    <w:name w:val="Hyperlink"/>
    <w:basedOn w:val="20"/>
    <w:qFormat/>
    <w:uiPriority w:val="0"/>
    <w:rPr>
      <w:color w:val="0000FF"/>
      <w:u w:val="single"/>
    </w:rPr>
  </w:style>
  <w:style w:type="character" w:customStyle="1" w:styleId="23">
    <w:name w:val="标题 4 Char"/>
    <w:basedOn w:val="20"/>
    <w:link w:val="5"/>
    <w:qFormat/>
    <w:uiPriority w:val="0"/>
    <w:rPr>
      <w:rFonts w:ascii="Cambria" w:hAnsi="Cambria"/>
      <w:b/>
      <w:bCs/>
      <w:kern w:val="2"/>
      <w:sz w:val="28"/>
      <w:szCs w:val="28"/>
    </w:rPr>
  </w:style>
  <w:style w:type="paragraph" w:styleId="24">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5">
    <w:name w:val="无间隔 Char"/>
    <w:link w:val="24"/>
    <w:qFormat/>
    <w:locked/>
    <w:uiPriority w:val="0"/>
    <w:rPr>
      <w:rFonts w:eastAsia="仿宋_GB2312"/>
      <w:sz w:val="30"/>
      <w:szCs w:val="22"/>
      <w:lang w:bidi="ar-SA"/>
    </w:rPr>
  </w:style>
  <w:style w:type="character" w:customStyle="1" w:styleId="26">
    <w:name w:val="页脚 Char"/>
    <w:basedOn w:val="20"/>
    <w:link w:val="11"/>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Char"/>
    <w:basedOn w:val="20"/>
    <w:link w:val="4"/>
    <w:qFormat/>
    <w:uiPriority w:val="0"/>
    <w:rPr>
      <w:b/>
      <w:bCs/>
      <w:kern w:val="2"/>
      <w:sz w:val="32"/>
      <w:szCs w:val="32"/>
    </w:rPr>
  </w:style>
  <w:style w:type="paragraph" w:customStyle="1" w:styleId="29">
    <w:name w:val="MsoNormal"/>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23</Pages>
  <Words>10462</Words>
  <Characters>11159</Characters>
  <Lines>1</Lines>
  <Paragraphs>1</Paragraphs>
  <TotalTime>292</TotalTime>
  <ScaleCrop>false</ScaleCrop>
  <LinksUpToDate>false</LinksUpToDate>
  <CharactersWithSpaces>11972</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WPS_1591138482</cp:lastModifiedBy>
  <cp:lastPrinted>2021-04-16T00:45:00Z</cp:lastPrinted>
  <dcterms:modified xsi:type="dcterms:W3CDTF">2025-08-25T07:39:30Z</dcterms:modified>
  <dc:title>××年度××部门/单位</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2052-12.1.0.21911</vt:lpwstr>
  </property>
  <property fmtid="{D5CDD505-2E9C-101B-9397-08002B2CF9AE}" pid="4" name="KSOTemplateDocerSaveRecord">
    <vt:lpwstr>eyJoZGlkIjoiOTJlYTcxZGY5NTZlNDg5NDQ4N2Y2N2UzNWNjOWU2MmYiLCJ1c2VySWQiOiIxMDA0OTczMDU4In0=</vt:lpwstr>
  </property>
</Properties>
</file>