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12170">
      <w:pPr>
        <w:keepNext w:val="0"/>
        <w:keepLines w:val="0"/>
        <w:pageBreakBefore w:val="0"/>
        <w:kinsoku/>
        <w:wordWrap/>
        <w:overflowPunct/>
        <w:topLinePunct w:val="0"/>
        <w:autoSpaceDE/>
        <w:autoSpaceDN/>
        <w:bidi w:val="0"/>
        <w:adjustRightInd/>
        <w:snapToGrid/>
        <w:spacing w:line="560" w:lineRule="exact"/>
        <w:jc w:val="left"/>
        <w:textAlignment w:val="auto"/>
        <w:outlineLvl w:val="0"/>
        <w:rPr>
          <w:rFonts w:hint="default" w:ascii="楷体_GB2312" w:hAnsi="楷体_GB2312" w:eastAsia="楷体_GB2312" w:cs="楷体_GB2312"/>
          <w:b w:val="0"/>
          <w:bCs/>
          <w:sz w:val="28"/>
          <w:szCs w:val="28"/>
          <w:lang w:val="en-US" w:eastAsia="zh-CN"/>
        </w:rPr>
      </w:pPr>
      <w:bookmarkStart w:id="0" w:name="_Toc14104"/>
      <w:r>
        <w:rPr>
          <w:rFonts w:hint="eastAsia" w:ascii="楷体_GB2312" w:hAnsi="楷体_GB2312" w:eastAsia="楷体_GB2312" w:cs="楷体_GB2312"/>
          <w:b w:val="0"/>
          <w:bCs/>
          <w:sz w:val="28"/>
          <w:szCs w:val="28"/>
          <w:lang w:eastAsia="zh-CN"/>
        </w:rPr>
        <w:t>附件</w:t>
      </w:r>
      <w:r>
        <w:rPr>
          <w:rFonts w:hint="eastAsia" w:ascii="楷体_GB2312" w:hAnsi="楷体_GB2312" w:eastAsia="楷体_GB2312" w:cs="楷体_GB2312"/>
          <w:b w:val="0"/>
          <w:bCs/>
          <w:sz w:val="28"/>
          <w:szCs w:val="28"/>
          <w:lang w:val="en-US" w:eastAsia="zh-CN"/>
        </w:rPr>
        <w:t>1</w:t>
      </w:r>
      <w:bookmarkStart w:id="35" w:name="_GoBack"/>
      <w:bookmarkEnd w:id="35"/>
    </w:p>
    <w:p w14:paraId="386AB1E3">
      <w:pPr>
        <w:pStyle w:val="2"/>
        <w:rPr>
          <w:rFonts w:hint="eastAsia"/>
          <w:lang w:eastAsia="zh-CN"/>
        </w:rPr>
      </w:pPr>
    </w:p>
    <w:p w14:paraId="2E3665E1">
      <w:pPr>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sz w:val="44"/>
          <w:szCs w:val="44"/>
        </w:rPr>
        <w:t>鄂温克族</w:t>
      </w:r>
      <w:r>
        <w:rPr>
          <w:rFonts w:hint="eastAsia" w:ascii="方正小标宋简体" w:hAnsi="方正小标宋简体" w:eastAsia="方正小标宋简体" w:cs="方正小标宋简体"/>
          <w:b w:val="0"/>
          <w:bCs/>
          <w:color w:val="auto"/>
          <w:sz w:val="44"/>
          <w:szCs w:val="44"/>
        </w:rPr>
        <w:t>自治旗20</w:t>
      </w:r>
      <w:r>
        <w:rPr>
          <w:rFonts w:hint="eastAsia" w:ascii="方正小标宋简体" w:hAnsi="方正小标宋简体" w:eastAsia="方正小标宋简体" w:cs="方正小标宋简体"/>
          <w:b w:val="0"/>
          <w:bCs/>
          <w:color w:val="auto"/>
          <w:sz w:val="44"/>
          <w:szCs w:val="44"/>
          <w:lang w:val="en-US" w:eastAsia="zh-CN"/>
        </w:rPr>
        <w:t>26</w:t>
      </w:r>
      <w:r>
        <w:rPr>
          <w:rFonts w:hint="eastAsia" w:ascii="方正小标宋简体" w:hAnsi="方正小标宋简体" w:eastAsia="方正小标宋简体" w:cs="方正小标宋简体"/>
          <w:b w:val="0"/>
          <w:bCs/>
          <w:color w:val="auto"/>
          <w:sz w:val="44"/>
          <w:szCs w:val="44"/>
        </w:rPr>
        <w:t>年</w:t>
      </w:r>
      <w:r>
        <w:rPr>
          <w:rFonts w:hint="eastAsia" w:ascii="方正小标宋简体" w:hAnsi="方正小标宋简体" w:eastAsia="方正小标宋简体" w:cs="方正小标宋简体"/>
          <w:b w:val="0"/>
          <w:bCs/>
          <w:color w:val="auto"/>
          <w:sz w:val="44"/>
          <w:szCs w:val="44"/>
          <w:lang w:eastAsia="zh-CN"/>
        </w:rPr>
        <w:t>度衔接推进乡村振兴（少数民族发展任务）</w:t>
      </w:r>
      <w:bookmarkEnd w:id="0"/>
      <w:r>
        <w:rPr>
          <w:rFonts w:hint="eastAsia" w:ascii="方正小标宋简体" w:hAnsi="方正小标宋简体" w:eastAsia="方正小标宋简体" w:cs="方正小标宋简体"/>
          <w:b w:val="0"/>
          <w:bCs/>
          <w:color w:val="auto"/>
          <w:sz w:val="44"/>
          <w:szCs w:val="44"/>
          <w:lang w:eastAsia="zh-CN"/>
        </w:rPr>
        <w:t>补助资金项目计划</w:t>
      </w:r>
    </w:p>
    <w:p w14:paraId="281A1429">
      <w:pPr>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color w:val="auto"/>
          <w:sz w:val="44"/>
          <w:szCs w:val="44"/>
          <w:lang w:eastAsia="zh-CN"/>
        </w:rPr>
        <w:t>实施方案</w:t>
      </w:r>
    </w:p>
    <w:p w14:paraId="5BBE095C">
      <w:pPr>
        <w:keepNext w:val="0"/>
        <w:keepLines w:val="0"/>
        <w:pageBreakBefore w:val="0"/>
        <w:kinsoku/>
        <w:wordWrap/>
        <w:overflowPunct/>
        <w:topLinePunct w:val="0"/>
        <w:autoSpaceDE/>
        <w:autoSpaceDN/>
        <w:bidi w:val="0"/>
        <w:adjustRightInd/>
        <w:snapToGrid/>
        <w:spacing w:line="560" w:lineRule="exact"/>
        <w:ind w:firstLine="2563" w:firstLineChars="800"/>
        <w:textAlignment w:val="auto"/>
        <w:rPr>
          <w:rFonts w:hint="eastAsia" w:ascii="方正公文小标宋" w:hAnsi="方正公文小标宋" w:eastAsia="方正公文小标宋" w:cs="方正公文小标宋"/>
          <w:b/>
          <w:sz w:val="32"/>
          <w:szCs w:val="32"/>
        </w:rPr>
      </w:pPr>
    </w:p>
    <w:p w14:paraId="3E3B3082">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6AD8FA8F">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7A5136CB">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3BEB5064">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0F09669E">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0B40BE78">
      <w:pPr>
        <w:pStyle w:val="2"/>
        <w:keepNext w:val="0"/>
        <w:keepLines w:val="0"/>
        <w:pageBreakBefore w:val="0"/>
        <w:kinsoku/>
        <w:wordWrap/>
        <w:overflowPunct/>
        <w:topLinePunct w:val="0"/>
        <w:autoSpaceDE/>
        <w:autoSpaceDN/>
        <w:bidi w:val="0"/>
        <w:adjustRightInd/>
        <w:snapToGrid/>
        <w:spacing w:line="560" w:lineRule="exact"/>
        <w:textAlignment w:val="auto"/>
        <w:outlineLvl w:val="9"/>
        <w:rPr>
          <w:rFonts w:ascii="宋体"/>
          <w:b/>
          <w:sz w:val="32"/>
          <w:szCs w:val="32"/>
        </w:rPr>
      </w:pPr>
    </w:p>
    <w:p w14:paraId="2CC08CD5">
      <w:pPr>
        <w:pStyle w:val="2"/>
        <w:keepNext w:val="0"/>
        <w:keepLines w:val="0"/>
        <w:pageBreakBefore w:val="0"/>
        <w:kinsoku/>
        <w:wordWrap/>
        <w:overflowPunct/>
        <w:topLinePunct w:val="0"/>
        <w:autoSpaceDE/>
        <w:autoSpaceDN/>
        <w:bidi w:val="0"/>
        <w:adjustRightInd/>
        <w:snapToGrid/>
        <w:spacing w:line="560" w:lineRule="exact"/>
        <w:textAlignment w:val="auto"/>
        <w:outlineLvl w:val="9"/>
        <w:rPr>
          <w:rFonts w:ascii="宋体"/>
          <w:b/>
          <w:sz w:val="32"/>
          <w:szCs w:val="32"/>
        </w:rPr>
      </w:pPr>
    </w:p>
    <w:p w14:paraId="1ECD69FF">
      <w:pPr>
        <w:pStyle w:val="2"/>
        <w:keepNext w:val="0"/>
        <w:keepLines w:val="0"/>
        <w:pageBreakBefore w:val="0"/>
        <w:kinsoku/>
        <w:wordWrap/>
        <w:overflowPunct/>
        <w:topLinePunct w:val="0"/>
        <w:autoSpaceDE/>
        <w:autoSpaceDN/>
        <w:bidi w:val="0"/>
        <w:adjustRightInd/>
        <w:snapToGrid/>
        <w:spacing w:line="560" w:lineRule="exact"/>
        <w:textAlignment w:val="auto"/>
        <w:outlineLvl w:val="9"/>
        <w:rPr>
          <w:rFonts w:ascii="宋体"/>
          <w:b/>
          <w:sz w:val="32"/>
          <w:szCs w:val="32"/>
        </w:rPr>
      </w:pPr>
    </w:p>
    <w:p w14:paraId="39286F4E">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48937EF3">
      <w:pPr>
        <w:keepNext w:val="0"/>
        <w:keepLines w:val="0"/>
        <w:pageBreakBefore w:val="0"/>
        <w:kinsoku/>
        <w:wordWrap/>
        <w:overflowPunct/>
        <w:topLinePunct w:val="0"/>
        <w:autoSpaceDE/>
        <w:autoSpaceDN/>
        <w:bidi w:val="0"/>
        <w:adjustRightInd/>
        <w:snapToGrid/>
        <w:spacing w:line="560" w:lineRule="exact"/>
        <w:ind w:firstLine="2570" w:firstLineChars="800"/>
        <w:textAlignment w:val="auto"/>
        <w:rPr>
          <w:rFonts w:ascii="宋体"/>
          <w:b/>
          <w:sz w:val="32"/>
          <w:szCs w:val="32"/>
        </w:rPr>
      </w:pPr>
    </w:p>
    <w:p w14:paraId="0515158F">
      <w:pPr>
        <w:keepNext w:val="0"/>
        <w:keepLines w:val="0"/>
        <w:pageBreakBefore w:val="0"/>
        <w:kinsoku/>
        <w:wordWrap/>
        <w:overflowPunct/>
        <w:topLinePunct w:val="0"/>
        <w:autoSpaceDE/>
        <w:autoSpaceDN/>
        <w:bidi w:val="0"/>
        <w:adjustRightInd/>
        <w:snapToGrid/>
        <w:spacing w:line="560" w:lineRule="exact"/>
        <w:ind w:firstLine="2560" w:firstLineChars="800"/>
        <w:textAlignment w:val="auto"/>
        <w:rPr>
          <w:rFonts w:ascii="宋体"/>
          <w:b w:val="0"/>
          <w:bCs/>
          <w:color w:val="auto"/>
          <w:sz w:val="32"/>
          <w:szCs w:val="32"/>
        </w:rPr>
      </w:pPr>
    </w:p>
    <w:p w14:paraId="1354CB51">
      <w:pPr>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楷体_GB2312" w:hAnsi="楷体_GB2312" w:eastAsia="楷体_GB2312" w:cs="楷体_GB2312"/>
          <w:b w:val="0"/>
          <w:bCs/>
          <w:color w:val="auto"/>
          <w:sz w:val="32"/>
          <w:szCs w:val="32"/>
        </w:rPr>
      </w:pPr>
      <w:bookmarkStart w:id="1" w:name="_Toc29347"/>
      <w:r>
        <w:rPr>
          <w:rFonts w:hint="eastAsia" w:ascii="楷体_GB2312" w:hAnsi="楷体_GB2312" w:eastAsia="楷体_GB2312" w:cs="楷体_GB2312"/>
          <w:b w:val="0"/>
          <w:bCs/>
          <w:color w:val="auto"/>
          <w:sz w:val="32"/>
          <w:szCs w:val="32"/>
        </w:rPr>
        <w:t>鄂温克族自治旗</w:t>
      </w:r>
      <w:r>
        <w:rPr>
          <w:rFonts w:hint="eastAsia" w:ascii="楷体_GB2312" w:hAnsi="楷体_GB2312" w:eastAsia="楷体_GB2312" w:cs="楷体_GB2312"/>
          <w:b w:val="0"/>
          <w:bCs/>
          <w:color w:val="auto"/>
          <w:sz w:val="32"/>
          <w:szCs w:val="32"/>
          <w:lang w:eastAsia="zh-CN"/>
        </w:rPr>
        <w:t>民族事务委员会</w:t>
      </w:r>
      <w:bookmarkEnd w:id="1"/>
    </w:p>
    <w:p w14:paraId="790F1CFC">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b w:val="0"/>
          <w:bCs/>
          <w:color w:val="auto"/>
          <w:sz w:val="32"/>
          <w:szCs w:val="32"/>
        </w:rPr>
      </w:pPr>
      <w:r>
        <w:rPr>
          <w:rFonts w:hint="eastAsia" w:ascii="楷体_GB2312" w:hAnsi="楷体_GB2312" w:eastAsia="楷体_GB2312" w:cs="楷体_GB2312"/>
          <w:b w:val="0"/>
          <w:bCs/>
          <w:color w:val="auto"/>
          <w:sz w:val="32"/>
          <w:szCs w:val="32"/>
        </w:rPr>
        <w:t>二</w:t>
      </w:r>
      <w:r>
        <w:rPr>
          <w:rFonts w:hint="eastAsia" w:ascii="楷体_GB2312" w:hAnsi="楷体_GB2312" w:eastAsia="楷体_GB2312" w:cs="楷体_GB2312"/>
          <w:b w:val="0"/>
          <w:bCs/>
          <w:color w:val="auto"/>
          <w:sz w:val="32"/>
          <w:szCs w:val="32"/>
          <w:lang w:eastAsia="zh-CN"/>
        </w:rPr>
        <w:t>〇二五</w:t>
      </w:r>
      <w:r>
        <w:rPr>
          <w:rFonts w:hint="eastAsia" w:ascii="楷体_GB2312" w:hAnsi="楷体_GB2312" w:eastAsia="楷体_GB2312" w:cs="楷体_GB2312"/>
          <w:b w:val="0"/>
          <w:bCs/>
          <w:color w:val="auto"/>
          <w:sz w:val="32"/>
          <w:szCs w:val="32"/>
        </w:rPr>
        <w:t>年</w:t>
      </w:r>
      <w:r>
        <w:rPr>
          <w:rFonts w:hint="eastAsia" w:ascii="楷体_GB2312" w:hAnsi="楷体_GB2312" w:eastAsia="楷体_GB2312" w:cs="楷体_GB2312"/>
          <w:b w:val="0"/>
          <w:bCs/>
          <w:color w:val="auto"/>
          <w:sz w:val="32"/>
          <w:szCs w:val="32"/>
          <w:lang w:eastAsia="zh-CN"/>
        </w:rPr>
        <w:t>十二</w:t>
      </w:r>
      <w:r>
        <w:rPr>
          <w:rFonts w:hint="eastAsia" w:ascii="楷体_GB2312" w:hAnsi="楷体_GB2312" w:eastAsia="楷体_GB2312" w:cs="楷体_GB2312"/>
          <w:b w:val="0"/>
          <w:bCs/>
          <w:color w:val="auto"/>
          <w:sz w:val="32"/>
          <w:szCs w:val="32"/>
        </w:rPr>
        <w:t>月</w:t>
      </w:r>
    </w:p>
    <w:p w14:paraId="42967E2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sz w:val="32"/>
          <w:szCs w:val="32"/>
        </w:rPr>
      </w:pPr>
    </w:p>
    <w:p w14:paraId="2A2E6432">
      <w:pPr>
        <w:pStyle w:val="2"/>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方正公文小标宋" w:hAnsi="方正公文小标宋" w:eastAsia="方正公文小标宋" w:cs="方正公文小标宋"/>
          <w:b/>
          <w:sz w:val="32"/>
          <w:szCs w:val="32"/>
        </w:rPr>
      </w:pPr>
    </w:p>
    <w:p w14:paraId="0998383D">
      <w:pPr>
        <w:pStyle w:val="2"/>
        <w:keepNext w:val="0"/>
        <w:keepLines w:val="0"/>
        <w:pageBreakBefore w:val="0"/>
        <w:kinsoku/>
        <w:wordWrap/>
        <w:overflowPunct/>
        <w:topLinePunct w:val="0"/>
        <w:autoSpaceDE/>
        <w:autoSpaceDN/>
        <w:bidi w:val="0"/>
        <w:adjustRightInd/>
        <w:snapToGrid/>
        <w:spacing w:line="560" w:lineRule="exact"/>
        <w:jc w:val="both"/>
        <w:textAlignment w:val="auto"/>
        <w:outlineLvl w:val="9"/>
        <w:rPr>
          <w:rFonts w:hint="eastAsia" w:ascii="方正公文小标宋" w:hAnsi="方正公文小标宋" w:eastAsia="方正公文小标宋" w:cs="方正公文小标宋"/>
          <w:b/>
          <w:sz w:val="32"/>
          <w:szCs w:val="32"/>
        </w:rPr>
      </w:pPr>
    </w:p>
    <w:p w14:paraId="212C6F8B">
      <w:pPr>
        <w:pStyle w:val="2"/>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方正公文小标宋" w:hAnsi="方正公文小标宋" w:eastAsia="方正公文小标宋" w:cs="方正公文小标宋"/>
          <w:b/>
          <w:sz w:val="32"/>
          <w:szCs w:val="32"/>
        </w:rPr>
        <w:sectPr>
          <w:pgSz w:w="11906" w:h="16838"/>
          <w:pgMar w:top="1440" w:right="1800" w:bottom="1440" w:left="1800" w:header="851" w:footer="992" w:gutter="0"/>
          <w:cols w:space="425" w:num="1"/>
          <w:docGrid w:type="lines" w:linePitch="312" w:charSpace="0"/>
        </w:sectPr>
      </w:pPr>
    </w:p>
    <w:sdt>
      <w:sdtPr>
        <w:rPr>
          <w:rFonts w:hint="eastAsia" w:ascii="方正公文小标宋" w:hAnsi="方正公文小标宋" w:eastAsia="方正公文小标宋" w:cs="方正公文小标宋"/>
          <w:kern w:val="2"/>
          <w:sz w:val="32"/>
          <w:szCs w:val="32"/>
          <w:lang w:val="en-US" w:eastAsia="zh-CN" w:bidi="ar-SA"/>
        </w:rPr>
        <w:id w:val="147454455"/>
        <w15:color w:val="DBDBDB"/>
        <w:docPartObj>
          <w:docPartGallery w:val="Table of Contents"/>
          <w:docPartUnique/>
        </w:docPartObj>
      </w:sdtPr>
      <w:sdtEndPr>
        <w:rPr>
          <w:rFonts w:hint="eastAsia" w:ascii="Calibri" w:hAnsi="Calibri" w:eastAsia="宋体" w:cs="Times New Roman"/>
          <w:b/>
          <w:kern w:val="2"/>
          <w:sz w:val="21"/>
          <w:szCs w:val="24"/>
          <w:lang w:val="en-US" w:eastAsia="zh-CN" w:bidi="ar-SA"/>
        </w:rPr>
      </w:sdtEndPr>
      <w:sdtContent>
        <w:p w14:paraId="193DAF26">
          <w:pPr>
            <w:keepNext w:val="0"/>
            <w:keepLines w:val="0"/>
            <w:pageBreakBefore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rFonts w:hint="eastAsia" w:ascii="方正公文小标宋" w:hAnsi="方正公文小标宋" w:eastAsia="方正公文小标宋" w:cs="方正公文小标宋"/>
              <w:sz w:val="32"/>
              <w:szCs w:val="32"/>
            </w:rPr>
          </w:pPr>
          <w:r>
            <w:rPr>
              <w:rFonts w:hint="eastAsia" w:ascii="方正公文小标宋" w:hAnsi="方正公文小标宋" w:eastAsia="方正公文小标宋" w:cs="方正公文小标宋"/>
              <w:sz w:val="32"/>
              <w:szCs w:val="32"/>
            </w:rPr>
            <w:t>目</w:t>
          </w:r>
          <w:r>
            <w:rPr>
              <w:rFonts w:hint="eastAsia" w:ascii="方正公文小标宋" w:hAnsi="方正公文小标宋" w:eastAsia="方正公文小标宋" w:cs="方正公文小标宋"/>
              <w:sz w:val="32"/>
              <w:szCs w:val="32"/>
              <w:lang w:val="en-US" w:eastAsia="zh-CN"/>
            </w:rPr>
            <w:t xml:space="preserve">      </w:t>
          </w:r>
          <w:r>
            <w:rPr>
              <w:rFonts w:hint="eastAsia" w:ascii="方正公文小标宋" w:hAnsi="方正公文小标宋" w:eastAsia="方正公文小标宋" w:cs="方正公文小标宋"/>
              <w:sz w:val="32"/>
              <w:szCs w:val="32"/>
            </w:rPr>
            <w:t>录</w:t>
          </w:r>
        </w:p>
        <w:p w14:paraId="0DE75D1F">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color w:val="auto"/>
              <w:sz w:val="28"/>
              <w:szCs w:val="28"/>
              <w:highlight w:val="none"/>
            </w:rPr>
          </w:pPr>
          <w:r>
            <w:rPr>
              <w:rFonts w:hint="eastAsia"/>
            </w:rPr>
            <w:fldChar w:fldCharType="begin"/>
          </w:r>
          <w:r>
            <w:rPr>
              <w:rFonts w:hint="eastAsia"/>
            </w:rPr>
            <w:instrText xml:space="preserve">TOC \o "1-2" \h \u </w:instrText>
          </w:r>
          <w:r>
            <w:rPr>
              <w:rFonts w:hint="eastAsia"/>
            </w:rPr>
            <w:fldChar w:fldCharType="separate"/>
          </w:r>
        </w:p>
        <w:p w14:paraId="02B60C49">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_Toc30733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48"/>
              <w:highlight w:val="none"/>
              <w:lang w:val="en-US" w:eastAsia="zh-CN"/>
            </w:rPr>
            <w:t>一、指导思想</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_Toc30733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2</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3C86780B">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_Toc1821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i w:val="0"/>
              <w:caps w:val="0"/>
              <w:color w:val="auto"/>
              <w:spacing w:val="0"/>
              <w:sz w:val="28"/>
              <w:szCs w:val="48"/>
              <w:highlight w:val="none"/>
              <w:lang w:val="en-US" w:eastAsia="zh-CN"/>
            </w:rPr>
            <w:t>二、基本原则</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_Toc1821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2</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2868A70D">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_Toc26034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kern w:val="2"/>
              <w:sz w:val="28"/>
              <w:szCs w:val="48"/>
              <w:highlight w:val="none"/>
              <w:lang w:val="en-US" w:eastAsia="zh-CN" w:bidi="ar-SA"/>
            </w:rPr>
            <w:t>三、项目建设必要性</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_Toc26034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3</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4084EA20">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_Toc10648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i w:val="0"/>
              <w:caps w:val="0"/>
              <w:color w:val="auto"/>
              <w:spacing w:val="0"/>
              <w:sz w:val="28"/>
              <w:szCs w:val="48"/>
              <w:highlight w:val="none"/>
              <w:lang w:eastAsia="zh-CN"/>
            </w:rPr>
            <w:t>四、建设内容</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_Toc10648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4</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5D5F97A5">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_Toc22177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48"/>
              <w:highlight w:val="none"/>
              <w:lang w:eastAsia="zh-CN"/>
            </w:rPr>
            <w:t>五</w:t>
          </w:r>
          <w:r>
            <w:rPr>
              <w:rFonts w:hint="eastAsia" w:ascii="楷体" w:hAnsi="楷体" w:eastAsia="楷体" w:cs="楷体"/>
              <w:b w:val="0"/>
              <w:bCs/>
              <w:color w:val="auto"/>
              <w:sz w:val="28"/>
              <w:szCs w:val="48"/>
              <w:highlight w:val="none"/>
            </w:rPr>
            <w:t>、项目时间进度</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_Toc22177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5</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5F78CE39">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_Toc2242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i w:val="0"/>
              <w:caps w:val="0"/>
              <w:color w:val="auto"/>
              <w:spacing w:val="0"/>
              <w:kern w:val="0"/>
              <w:sz w:val="28"/>
              <w:szCs w:val="48"/>
              <w:highlight w:val="none"/>
              <w:lang w:val="en-US" w:eastAsia="zh-CN" w:bidi="ar"/>
            </w:rPr>
            <w:t>六、资金来源</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_Toc2242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5</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2A7EBB3A">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_Toc2242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i w:val="0"/>
              <w:caps w:val="0"/>
              <w:color w:val="auto"/>
              <w:spacing w:val="0"/>
              <w:kern w:val="0"/>
              <w:sz w:val="28"/>
              <w:szCs w:val="48"/>
              <w:highlight w:val="none"/>
              <w:lang w:val="en-US" w:eastAsia="zh-CN" w:bidi="ar"/>
            </w:rPr>
            <w:t>七、资金分配</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_Toc2242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5</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4E24EC7D">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_Toc6225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48"/>
              <w:highlight w:val="none"/>
              <w:lang w:val="en-US" w:eastAsia="zh-CN"/>
            </w:rPr>
            <w:t>八、项目及资金管理</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lang w:val="en-US" w:eastAsia="zh-CN"/>
            </w:rPr>
            <w:t>5</w:t>
          </w:r>
          <w:r>
            <w:rPr>
              <w:rFonts w:hint="eastAsia" w:ascii="楷体" w:hAnsi="楷体" w:eastAsia="楷体" w:cs="楷体"/>
              <w:b w:val="0"/>
              <w:bCs/>
              <w:color w:val="auto"/>
              <w:sz w:val="28"/>
              <w:szCs w:val="28"/>
              <w:highlight w:val="none"/>
            </w:rPr>
            <w:fldChar w:fldCharType="end"/>
          </w:r>
        </w:p>
        <w:p w14:paraId="54907907">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_Toc4874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48"/>
              <w:highlight w:val="none"/>
              <w:lang w:eastAsia="zh-CN"/>
            </w:rPr>
            <w:t>九、</w:t>
          </w:r>
          <w:r>
            <w:rPr>
              <w:rFonts w:hint="eastAsia" w:ascii="楷体" w:hAnsi="楷体" w:eastAsia="楷体" w:cs="楷体"/>
              <w:b w:val="0"/>
              <w:bCs/>
              <w:color w:val="auto"/>
              <w:sz w:val="28"/>
              <w:szCs w:val="48"/>
              <w:highlight w:val="none"/>
            </w:rPr>
            <w:t>效益分析</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_Toc4874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7</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024023F2">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HYPERLINK \l _Toc4303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48"/>
              <w:highlight w:val="none"/>
              <w:lang w:val="en-US" w:eastAsia="zh-CN"/>
            </w:rPr>
            <w:t>十、结论与建议</w:t>
          </w:r>
          <w:r>
            <w:rPr>
              <w:rFonts w:hint="eastAsia" w:ascii="楷体" w:hAnsi="楷体" w:eastAsia="楷体" w:cs="楷体"/>
              <w:b w:val="0"/>
              <w:bCs/>
              <w:color w:val="auto"/>
              <w:sz w:val="28"/>
              <w:szCs w:val="28"/>
              <w:highlight w:val="none"/>
            </w:rPr>
            <w:tab/>
          </w:r>
          <w:r>
            <w:rPr>
              <w:rFonts w:hint="eastAsia" w:ascii="楷体" w:hAnsi="楷体" w:eastAsia="楷体" w:cs="楷体"/>
              <w:b w:val="0"/>
              <w:bCs/>
              <w:color w:val="auto"/>
              <w:sz w:val="28"/>
              <w:szCs w:val="28"/>
              <w:highlight w:val="none"/>
            </w:rPr>
            <w:fldChar w:fldCharType="begin"/>
          </w:r>
          <w:r>
            <w:rPr>
              <w:rFonts w:hint="eastAsia" w:ascii="楷体" w:hAnsi="楷体" w:eastAsia="楷体" w:cs="楷体"/>
              <w:b w:val="0"/>
              <w:bCs/>
              <w:color w:val="auto"/>
              <w:sz w:val="28"/>
              <w:szCs w:val="28"/>
              <w:highlight w:val="none"/>
            </w:rPr>
            <w:instrText xml:space="preserve"> PAGEREF _Toc4303 \h </w:instrText>
          </w:r>
          <w:r>
            <w:rPr>
              <w:rFonts w:hint="eastAsia" w:ascii="楷体" w:hAnsi="楷体" w:eastAsia="楷体" w:cs="楷体"/>
              <w:b w:val="0"/>
              <w:bCs/>
              <w:color w:val="auto"/>
              <w:sz w:val="28"/>
              <w:szCs w:val="28"/>
              <w:highlight w:val="none"/>
            </w:rPr>
            <w:fldChar w:fldCharType="separate"/>
          </w:r>
          <w:r>
            <w:rPr>
              <w:rFonts w:hint="eastAsia" w:ascii="楷体" w:hAnsi="楷体" w:eastAsia="楷体" w:cs="楷体"/>
              <w:b w:val="0"/>
              <w:bCs/>
              <w:color w:val="auto"/>
              <w:sz w:val="28"/>
              <w:szCs w:val="28"/>
              <w:highlight w:val="none"/>
            </w:rPr>
            <w:t>7</w:t>
          </w:r>
          <w:r>
            <w:rPr>
              <w:rFonts w:hint="eastAsia" w:ascii="楷体" w:hAnsi="楷体" w:eastAsia="楷体" w:cs="楷体"/>
              <w:b w:val="0"/>
              <w:bCs/>
              <w:color w:val="auto"/>
              <w:sz w:val="28"/>
              <w:szCs w:val="28"/>
              <w:highlight w:val="none"/>
            </w:rPr>
            <w:fldChar w:fldCharType="end"/>
          </w:r>
          <w:r>
            <w:rPr>
              <w:rFonts w:hint="eastAsia" w:ascii="楷体" w:hAnsi="楷体" w:eastAsia="楷体" w:cs="楷体"/>
              <w:b w:val="0"/>
              <w:bCs/>
              <w:color w:val="auto"/>
              <w:sz w:val="28"/>
              <w:szCs w:val="28"/>
              <w:highlight w:val="none"/>
            </w:rPr>
            <w:fldChar w:fldCharType="end"/>
          </w:r>
        </w:p>
        <w:p w14:paraId="2FAAD391">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28"/>
              <w:szCs w:val="28"/>
            </w:rPr>
          </w:pPr>
        </w:p>
        <w:p w14:paraId="44A3B9FB">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28"/>
              <w:szCs w:val="28"/>
            </w:rPr>
          </w:pPr>
        </w:p>
        <w:p w14:paraId="04377DB1">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28"/>
              <w:szCs w:val="28"/>
            </w:rPr>
          </w:pPr>
        </w:p>
        <w:p w14:paraId="2F16F501">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28"/>
              <w:szCs w:val="28"/>
            </w:rPr>
          </w:pPr>
        </w:p>
        <w:p w14:paraId="01FA5C48">
          <w:pPr>
            <w:pStyle w:val="9"/>
            <w:keepNext w:val="0"/>
            <w:keepLines w:val="0"/>
            <w:pageBreakBefore w:val="0"/>
            <w:tabs>
              <w:tab w:val="right" w:leader="dot" w:pos="8306"/>
            </w:tabs>
            <w:kinsoku/>
            <w:wordWrap/>
            <w:overflowPunct/>
            <w:topLinePunct w:val="0"/>
            <w:autoSpaceDE/>
            <w:autoSpaceDN/>
            <w:bidi w:val="0"/>
            <w:adjustRightInd/>
            <w:snapToGrid/>
            <w:spacing w:line="560" w:lineRule="exact"/>
            <w:textAlignment w:val="auto"/>
            <w:rPr>
              <w:rFonts w:hint="eastAsia"/>
              <w:b/>
              <w:sz w:val="28"/>
              <w:szCs w:val="28"/>
            </w:rPr>
          </w:pPr>
        </w:p>
        <w:p w14:paraId="448AAAEB">
          <w:pPr>
            <w:keepNext w:val="0"/>
            <w:keepLines w:val="0"/>
            <w:pageBreakBefore w:val="0"/>
            <w:kinsoku/>
            <w:wordWrap/>
            <w:overflowPunct/>
            <w:topLinePunct w:val="0"/>
            <w:autoSpaceDE/>
            <w:autoSpaceDN/>
            <w:bidi w:val="0"/>
            <w:adjustRightInd/>
            <w:snapToGrid/>
            <w:spacing w:line="560" w:lineRule="exact"/>
            <w:textAlignment w:val="auto"/>
            <w:rPr>
              <w:rFonts w:hint="eastAsia"/>
              <w:b/>
            </w:rPr>
          </w:pPr>
          <w:r>
            <w:rPr>
              <w:rFonts w:hint="eastAsia"/>
              <w:b/>
            </w:rPr>
            <w:fldChar w:fldCharType="end"/>
          </w:r>
        </w:p>
        <w:p w14:paraId="19DA14F3">
          <w:pPr>
            <w:keepNext w:val="0"/>
            <w:keepLines w:val="0"/>
            <w:pageBreakBefore w:val="0"/>
            <w:kinsoku/>
            <w:wordWrap/>
            <w:overflowPunct/>
            <w:topLinePunct w:val="0"/>
            <w:autoSpaceDE/>
            <w:autoSpaceDN/>
            <w:bidi w:val="0"/>
            <w:adjustRightInd/>
            <w:snapToGrid/>
            <w:spacing w:line="560" w:lineRule="exact"/>
            <w:textAlignment w:val="auto"/>
            <w:rPr>
              <w:rFonts w:hint="eastAsia"/>
              <w:b/>
            </w:rPr>
          </w:pPr>
        </w:p>
        <w:p w14:paraId="21D13393">
          <w:pPr>
            <w:keepNext w:val="0"/>
            <w:keepLines w:val="0"/>
            <w:pageBreakBefore w:val="0"/>
            <w:kinsoku/>
            <w:wordWrap/>
            <w:overflowPunct/>
            <w:topLinePunct w:val="0"/>
            <w:autoSpaceDE/>
            <w:autoSpaceDN/>
            <w:bidi w:val="0"/>
            <w:adjustRightInd/>
            <w:snapToGrid/>
            <w:spacing w:line="560" w:lineRule="exact"/>
            <w:textAlignment w:val="auto"/>
            <w:rPr>
              <w:rFonts w:hint="eastAsia"/>
              <w:b/>
            </w:rPr>
          </w:pPr>
        </w:p>
        <w:p w14:paraId="64A6A050">
          <w:pPr>
            <w:keepNext w:val="0"/>
            <w:keepLines w:val="0"/>
            <w:pageBreakBefore w:val="0"/>
            <w:kinsoku/>
            <w:wordWrap/>
            <w:overflowPunct/>
            <w:topLinePunct w:val="0"/>
            <w:autoSpaceDE/>
            <w:autoSpaceDN/>
            <w:bidi w:val="0"/>
            <w:adjustRightInd/>
            <w:snapToGrid/>
            <w:spacing w:line="560" w:lineRule="exact"/>
            <w:textAlignment w:val="auto"/>
            <w:rPr>
              <w:rFonts w:hint="eastAsia"/>
              <w:b/>
            </w:rPr>
          </w:pPr>
        </w:p>
        <w:p w14:paraId="5810743F">
          <w:pPr>
            <w:keepNext w:val="0"/>
            <w:keepLines w:val="0"/>
            <w:pageBreakBefore w:val="0"/>
            <w:kinsoku/>
            <w:wordWrap/>
            <w:overflowPunct/>
            <w:topLinePunct w:val="0"/>
            <w:autoSpaceDE/>
            <w:autoSpaceDN/>
            <w:bidi w:val="0"/>
            <w:adjustRightInd/>
            <w:snapToGrid/>
            <w:spacing w:line="560" w:lineRule="exact"/>
            <w:textAlignment w:val="auto"/>
            <w:rPr>
              <w:rFonts w:hint="eastAsia"/>
              <w:b/>
            </w:rPr>
          </w:pPr>
        </w:p>
        <w:p w14:paraId="79C52114">
          <w:pPr>
            <w:keepNext w:val="0"/>
            <w:keepLines w:val="0"/>
            <w:pageBreakBefore w:val="0"/>
            <w:kinsoku/>
            <w:wordWrap/>
            <w:overflowPunct/>
            <w:topLinePunct w:val="0"/>
            <w:autoSpaceDE/>
            <w:autoSpaceDN/>
            <w:bidi w:val="0"/>
            <w:adjustRightInd/>
            <w:snapToGrid/>
            <w:spacing w:line="560" w:lineRule="exact"/>
            <w:textAlignment w:val="auto"/>
            <w:rPr>
              <w:rFonts w:hint="eastAsia"/>
              <w:b/>
            </w:rPr>
          </w:pPr>
        </w:p>
        <w:p w14:paraId="7D4A7977">
          <w:pPr>
            <w:keepNext w:val="0"/>
            <w:keepLines w:val="0"/>
            <w:pageBreakBefore w:val="0"/>
            <w:kinsoku/>
            <w:wordWrap/>
            <w:overflowPunct/>
            <w:topLinePunct w:val="0"/>
            <w:autoSpaceDE/>
            <w:autoSpaceDN/>
            <w:bidi w:val="0"/>
            <w:adjustRightInd/>
            <w:snapToGrid/>
            <w:spacing w:line="560" w:lineRule="exact"/>
            <w:textAlignment w:val="auto"/>
            <w:rPr>
              <w:rFonts w:hint="eastAsia"/>
            </w:rPr>
          </w:pPr>
        </w:p>
      </w:sdtContent>
    </w:sdt>
    <w:p w14:paraId="5E21E8A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color w:val="auto"/>
          <w:sz w:val="44"/>
          <w:szCs w:val="44"/>
        </w:rPr>
        <w:t>鄂温克族自治旗20</w:t>
      </w:r>
      <w:r>
        <w:rPr>
          <w:rFonts w:hint="eastAsia" w:ascii="方正小标宋简体" w:hAnsi="方正小标宋简体" w:eastAsia="方正小标宋简体" w:cs="方正小标宋简体"/>
          <w:b w:val="0"/>
          <w:bCs/>
          <w:color w:val="auto"/>
          <w:sz w:val="44"/>
          <w:szCs w:val="44"/>
          <w:lang w:val="en-US" w:eastAsia="zh-CN"/>
        </w:rPr>
        <w:t>26</w:t>
      </w:r>
      <w:r>
        <w:rPr>
          <w:rFonts w:hint="eastAsia" w:ascii="方正小标宋简体" w:hAnsi="方正小标宋简体" w:eastAsia="方正小标宋简体" w:cs="方正小标宋简体"/>
          <w:b w:val="0"/>
          <w:bCs/>
          <w:color w:val="auto"/>
          <w:sz w:val="44"/>
          <w:szCs w:val="44"/>
        </w:rPr>
        <w:t>年</w:t>
      </w:r>
      <w:r>
        <w:rPr>
          <w:rFonts w:hint="eastAsia" w:ascii="方正小标宋简体" w:hAnsi="方正小标宋简体" w:eastAsia="方正小标宋简体" w:cs="方正小标宋简体"/>
          <w:b w:val="0"/>
          <w:bCs/>
          <w:color w:val="auto"/>
          <w:sz w:val="44"/>
          <w:szCs w:val="44"/>
          <w:lang w:eastAsia="zh-CN"/>
        </w:rPr>
        <w:t>度衔接推进乡村振兴（少数民族发展任务）补助资金</w:t>
      </w:r>
    </w:p>
    <w:p w14:paraId="5BF60B7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color w:val="auto"/>
          <w:sz w:val="44"/>
          <w:szCs w:val="44"/>
          <w:lang w:eastAsia="zh-CN"/>
        </w:rPr>
        <w:t>项目计划实施方案</w:t>
      </w:r>
    </w:p>
    <w:p w14:paraId="2189BEA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lang w:val="en-US" w:eastAsia="zh-CN"/>
        </w:rPr>
      </w:pPr>
    </w:p>
    <w:p w14:paraId="66684975">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深入贯彻落实党中央、国务院关于实现巩固拓展脱贫攻坚成果同乡村振兴有效衔接的意见，进一步做好鄂温克族自治旗衔接推进乡村振兴（少数民族发展任务）补助资金项目建设工作，规范衔接资金管理、提高财政资金使用效率，</w:t>
      </w:r>
      <w:r>
        <w:rPr>
          <w:rFonts w:hint="eastAsia" w:ascii="仿宋_GB2312" w:hAnsi="仿宋_GB2312" w:eastAsia="仿宋_GB2312" w:cs="仿宋_GB2312"/>
          <w:color w:val="auto"/>
          <w:spacing w:val="-6"/>
          <w:sz w:val="32"/>
          <w:szCs w:val="32"/>
        </w:rPr>
        <w:t>确保高质量完成年度目标任务</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z w:val="32"/>
          <w:szCs w:val="32"/>
          <w:lang w:val="en-US" w:eastAsia="zh-CN"/>
        </w:rPr>
        <w:t>结合全旗实际制定本建议书。</w:t>
      </w:r>
    </w:p>
    <w:p w14:paraId="2F8D8ED7">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val="0"/>
          <w:color w:val="auto"/>
          <w:sz w:val="32"/>
          <w:szCs w:val="32"/>
          <w:lang w:val="en-US" w:eastAsia="zh-CN"/>
        </w:rPr>
      </w:pPr>
      <w:bookmarkStart w:id="2" w:name="_Toc30733"/>
      <w:r>
        <w:rPr>
          <w:rFonts w:hint="eastAsia" w:ascii="黑体" w:hAnsi="黑体" w:eastAsia="黑体" w:cs="黑体"/>
          <w:b w:val="0"/>
          <w:bCs w:val="0"/>
          <w:color w:val="auto"/>
          <w:sz w:val="32"/>
          <w:szCs w:val="32"/>
          <w:lang w:val="en-US" w:eastAsia="zh-CN"/>
        </w:rPr>
        <w:t>一、指导思想</w:t>
      </w:r>
      <w:bookmarkEnd w:id="2"/>
    </w:p>
    <w:p w14:paraId="67FE3768">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习近平新时代中国特色社会主义思想为指导，深入贯彻党的二十大精神，坚定不移贯彻新发展理念，坚持稳中求进工作总基调，坚持以人民为中心的发展思想，坚持共同富裕方向，将巩固拓展脱贫攻坚成果放在突出位置，全面建设社会主义现代化国家开好局、起好步奠定坚实基础。要贯彻落实习近平总书记关于加强和改进民族工作的重要思想及促进各民族广泛交往交融交流，推动民族地区融入新发展格局的重要指示精神，促进民族地区经济发展，不断加强项目资金科学化、规范化、精细化管理，确保少数民族发展任务资金发挥最大效益，助力乡村振兴，引导各族群众更加听党话、感党恩、跟党走，进一步铸牢中华民族共同体意识。</w:t>
      </w:r>
    </w:p>
    <w:p w14:paraId="2CAD4FD4">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val="0"/>
          <w:i w:val="0"/>
          <w:caps w:val="0"/>
          <w:color w:val="auto"/>
          <w:spacing w:val="0"/>
          <w:sz w:val="32"/>
          <w:szCs w:val="32"/>
          <w:lang w:val="en-US" w:eastAsia="zh-CN"/>
        </w:rPr>
      </w:pPr>
      <w:bookmarkStart w:id="3" w:name="_Toc1821"/>
      <w:r>
        <w:rPr>
          <w:rFonts w:hint="eastAsia" w:ascii="黑体" w:hAnsi="黑体" w:eastAsia="黑体" w:cs="黑体"/>
          <w:b w:val="0"/>
          <w:bCs w:val="0"/>
          <w:i w:val="0"/>
          <w:caps w:val="0"/>
          <w:color w:val="auto"/>
          <w:spacing w:val="0"/>
          <w:sz w:val="32"/>
          <w:szCs w:val="32"/>
          <w:lang w:val="en-US" w:eastAsia="zh-CN"/>
        </w:rPr>
        <w:t>二、基本原则</w:t>
      </w:r>
      <w:bookmarkEnd w:id="3"/>
    </w:p>
    <w:p w14:paraId="3F175F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val="0"/>
          <w:bCs w:val="0"/>
          <w:i w:val="0"/>
          <w:caps w:val="0"/>
          <w:color w:val="auto"/>
          <w:spacing w:val="0"/>
          <w:w w:val="100"/>
          <w:kern w:val="0"/>
          <w:sz w:val="30"/>
          <w:szCs w:val="30"/>
          <w:lang w:val="en-US" w:eastAsia="zh-CN" w:bidi="mn-Mong-CN"/>
        </w:rPr>
      </w:pPr>
      <w:r>
        <w:rPr>
          <w:rFonts w:hint="eastAsia" w:ascii="楷体_GB2312" w:hAnsi="楷体_GB2312" w:eastAsia="楷体_GB2312" w:cs="楷体_GB2312"/>
          <w:b w:val="0"/>
          <w:bCs/>
          <w:i w:val="0"/>
          <w:caps w:val="0"/>
          <w:color w:val="auto"/>
          <w:spacing w:val="0"/>
          <w:sz w:val="32"/>
          <w:szCs w:val="32"/>
          <w:lang w:val="en-US" w:eastAsia="zh-CN"/>
        </w:rPr>
        <w:t>(一)</w:t>
      </w:r>
      <w:r>
        <w:rPr>
          <w:rFonts w:hint="eastAsia" w:ascii="楷体_GB2312" w:hAnsi="楷体_GB2312" w:eastAsia="楷体_GB2312" w:cs="楷体_GB2312"/>
          <w:b w:val="0"/>
          <w:bCs/>
          <w:i w:val="0"/>
          <w:caps w:val="0"/>
          <w:color w:val="auto"/>
          <w:spacing w:val="0"/>
          <w:sz w:val="32"/>
          <w:szCs w:val="32"/>
        </w:rPr>
        <w:t>坚持聚焦精准。</w:t>
      </w:r>
      <w:r>
        <w:rPr>
          <w:rFonts w:hint="eastAsia" w:ascii="仿宋_GB2312" w:hAnsi="仿宋_GB2312" w:eastAsia="仿宋_GB2312" w:cs="仿宋_GB2312"/>
          <w:color w:val="auto"/>
          <w:kern w:val="2"/>
          <w:sz w:val="32"/>
          <w:szCs w:val="32"/>
          <w:lang w:val="en-US" w:eastAsia="zh-CN" w:bidi="ar-SA"/>
        </w:rPr>
        <w:t>严格衔接资金投向要求，聚焦特色优势产业及必要的产业配套基础设施建设。补齐必要的村基础设施和小型公益性基础设施建设短板。</w:t>
      </w:r>
    </w:p>
    <w:p w14:paraId="1CF69068">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caps w:val="0"/>
          <w:color w:val="auto"/>
          <w:spacing w:val="0"/>
          <w:kern w:val="2"/>
          <w:sz w:val="32"/>
          <w:szCs w:val="32"/>
          <w:lang w:val="en-US" w:eastAsia="zh-CN" w:bidi="ar-SA"/>
        </w:rPr>
      </w:pPr>
      <w:r>
        <w:rPr>
          <w:rFonts w:hint="eastAsia" w:ascii="楷体_GB2312" w:hAnsi="楷体_GB2312" w:eastAsia="楷体_GB2312" w:cs="楷体_GB2312"/>
          <w:b w:val="0"/>
          <w:bCs/>
          <w:i w:val="0"/>
          <w:caps w:val="0"/>
          <w:color w:val="auto"/>
          <w:spacing w:val="0"/>
          <w:kern w:val="0"/>
          <w:sz w:val="32"/>
          <w:szCs w:val="32"/>
          <w:lang w:val="en-US" w:eastAsia="zh-CN" w:bidi="ar"/>
        </w:rPr>
        <w:t>(二)坚持群众参与。</w:t>
      </w:r>
      <w:r>
        <w:rPr>
          <w:rFonts w:hint="eastAsia" w:ascii="仿宋_GB2312" w:hAnsi="仿宋_GB2312" w:eastAsia="仿宋_GB2312" w:cs="仿宋_GB2312"/>
          <w:color w:val="auto"/>
          <w:kern w:val="2"/>
          <w:sz w:val="32"/>
          <w:szCs w:val="32"/>
          <w:lang w:val="en-US" w:eastAsia="zh-CN" w:bidi="ar-SA"/>
        </w:rPr>
        <w:t>积极推广群众民主议事决策机制，发挥牧民群众的主体地位和作用，引导其参与入库扶贫项目选择、批准后实施、竣工后管理，提高参与度，增强获得感。</w:t>
      </w:r>
    </w:p>
    <w:p w14:paraId="42FED8D5">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i w:val="0"/>
          <w:caps w:val="0"/>
          <w:color w:val="auto"/>
          <w:spacing w:val="0"/>
          <w:sz w:val="32"/>
          <w:szCs w:val="32"/>
        </w:rPr>
      </w:pPr>
      <w:r>
        <w:rPr>
          <w:rFonts w:hint="eastAsia" w:ascii="楷体_GB2312" w:hAnsi="楷体_GB2312" w:eastAsia="楷体_GB2312" w:cs="楷体_GB2312"/>
          <w:b w:val="0"/>
          <w:bCs/>
          <w:i w:val="0"/>
          <w:caps w:val="0"/>
          <w:color w:val="auto"/>
          <w:spacing w:val="0"/>
          <w:kern w:val="0"/>
          <w:sz w:val="32"/>
          <w:szCs w:val="32"/>
          <w:lang w:val="en-US" w:eastAsia="zh-CN" w:bidi="ar"/>
        </w:rPr>
        <w:t>(三)坚持公开透明。</w:t>
      </w:r>
      <w:r>
        <w:rPr>
          <w:rFonts w:hint="eastAsia" w:ascii="仿宋_GB2312" w:hAnsi="仿宋_GB2312" w:eastAsia="仿宋_GB2312" w:cs="仿宋_GB2312"/>
          <w:color w:val="auto"/>
          <w:sz w:val="32"/>
          <w:szCs w:val="32"/>
          <w:lang w:val="en-US" w:eastAsia="zh-CN"/>
        </w:rPr>
        <w:t>严格项目建设程序，项目实施前要逐级公示，竣工后的项目要在建设地点公示、公告，接受群众和社会监督，实行衔接推进乡村振兴（少数民族发展任务）项目阳光化管理。</w:t>
      </w:r>
    </w:p>
    <w:p w14:paraId="381053B1">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楷体_GB2312" w:hAnsi="楷体_GB2312" w:eastAsia="楷体_GB2312" w:cs="楷体_GB2312"/>
          <w:b w:val="0"/>
          <w:bCs/>
          <w:i w:val="0"/>
          <w:caps w:val="0"/>
          <w:color w:val="auto"/>
          <w:spacing w:val="0"/>
          <w:kern w:val="0"/>
          <w:sz w:val="32"/>
          <w:szCs w:val="32"/>
          <w:lang w:val="en-US" w:eastAsia="zh-CN" w:bidi="ar"/>
        </w:rPr>
        <w:t>(四)坚持逐步完善。</w:t>
      </w:r>
      <w:r>
        <w:rPr>
          <w:rFonts w:hint="eastAsia" w:ascii="仿宋_GB2312" w:hAnsi="仿宋_GB2312" w:eastAsia="仿宋_GB2312" w:cs="仿宋_GB2312"/>
          <w:color w:val="auto"/>
          <w:kern w:val="2"/>
          <w:sz w:val="32"/>
          <w:szCs w:val="32"/>
          <w:lang w:val="en-US" w:eastAsia="zh-CN" w:bidi="ar-SA"/>
        </w:rPr>
        <w:t>项目建设要坚持科学合理，可操作性强，注重服务基层，凡是未纳入项目库的项目不予安排衔接资金。</w:t>
      </w:r>
    </w:p>
    <w:p w14:paraId="7F6E0EEC">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楷体_GB2312" w:hAnsi="楷体_GB2312" w:eastAsia="楷体_GB2312" w:cs="楷体_GB2312"/>
          <w:b w:val="0"/>
          <w:bCs/>
          <w:i w:val="0"/>
          <w:caps w:val="0"/>
          <w:color w:val="auto"/>
          <w:spacing w:val="0"/>
          <w:kern w:val="0"/>
          <w:sz w:val="32"/>
          <w:szCs w:val="32"/>
          <w:lang w:val="en-US" w:eastAsia="zh-CN" w:bidi="ar"/>
        </w:rPr>
        <w:t>（五）全程绩效管理。</w:t>
      </w:r>
      <w:r>
        <w:rPr>
          <w:rFonts w:hint="eastAsia" w:ascii="仿宋_GB2312" w:hAnsi="仿宋_GB2312" w:eastAsia="仿宋_GB2312" w:cs="仿宋_GB2312"/>
          <w:b w:val="0"/>
          <w:bCs w:val="0"/>
          <w:color w:val="auto"/>
          <w:kern w:val="2"/>
          <w:sz w:val="32"/>
          <w:szCs w:val="32"/>
          <w:lang w:val="en-US" w:eastAsia="zh-CN" w:bidi="ar-SA"/>
        </w:rPr>
        <w:t>对项目实行全过程绩效管理，强化目标设定、运行监控、评价结果应用等环节，确保资金使用效益最大化。将绩效评价结果与资金安排挂钩，推动项目管理提质增效，持续提升衔接资金使用的科学性和规范性。</w:t>
      </w:r>
    </w:p>
    <w:p w14:paraId="5E0C145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val="0"/>
          <w:color w:val="auto"/>
          <w:kern w:val="2"/>
          <w:sz w:val="32"/>
          <w:szCs w:val="32"/>
          <w:u w:val="none"/>
          <w:lang w:val="en-US" w:eastAsia="zh-CN" w:bidi="ar-SA"/>
        </w:rPr>
      </w:pPr>
      <w:bookmarkStart w:id="4" w:name="_Toc16418"/>
      <w:bookmarkStart w:id="5" w:name="_Toc20464"/>
      <w:bookmarkStart w:id="6" w:name="_Toc30810"/>
      <w:bookmarkStart w:id="7" w:name="_Toc26034"/>
      <w:r>
        <w:rPr>
          <w:rFonts w:hint="eastAsia" w:ascii="黑体" w:hAnsi="黑体" w:eastAsia="黑体" w:cs="黑体"/>
          <w:b w:val="0"/>
          <w:bCs w:val="0"/>
          <w:color w:val="auto"/>
          <w:kern w:val="2"/>
          <w:sz w:val="32"/>
          <w:szCs w:val="32"/>
          <w:u w:val="none"/>
          <w:lang w:val="en-US" w:eastAsia="zh-CN" w:bidi="ar-SA"/>
        </w:rPr>
        <w:t>三、项目建设必要性</w:t>
      </w:r>
      <w:bookmarkEnd w:id="4"/>
      <w:bookmarkEnd w:id="5"/>
      <w:bookmarkEnd w:id="6"/>
      <w:bookmarkEnd w:id="7"/>
    </w:p>
    <w:p w14:paraId="4479E23A">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鄂温克族自治旗是一个多民族聚居的地区，各民族之间的和谐共处对该地区的发展至关重要。衔接推进乡村振兴（少数民族发展任务）补助资金的落实将推动产业发展同时促进民族团结。助推嘎查集体经济“输血”式向“造血”式发展，使各族群众共享发展成果，推动各民族广泛交往交流交融。坚持改善民生，扎实稳妥推进乡村振兴，因地制宜补齐必要的牧区人居环境整治基础设施建设短板。进一步加强民族团结，促进各民族的共同发展的需要。</w:t>
      </w:r>
    </w:p>
    <w:p w14:paraId="7C56183F">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由于历史、自然和地理等原因，少数民族和民族地区经济社会发展总体滞后，供给侧结构性改革任务艰巨，产业发展层次水平偏低。城乡区域发展不平衡，基础设施建设不完善，创新发展能力弱。破解多重问题和困难，必须加快少数民族和民族地区发展。</w:t>
      </w:r>
    </w:p>
    <w:p w14:paraId="378779DF">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因此，将衔接推进乡村振兴（少数民族发展任务）补助资金投入支持巩固拓展脱贫攻坚成果同乡村振兴有效衔接领域项目，不仅能发展壮大嘎查集体经济，还对巩固脱贫成果、乡村振兴工作、社会事业发展产生良好效益。</w:t>
      </w:r>
    </w:p>
    <w:p w14:paraId="127A662F">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val="0"/>
          <w:i w:val="0"/>
          <w:caps w:val="0"/>
          <w:color w:val="auto"/>
          <w:spacing w:val="0"/>
          <w:sz w:val="32"/>
          <w:szCs w:val="32"/>
          <w:lang w:eastAsia="zh-CN"/>
        </w:rPr>
      </w:pPr>
      <w:bookmarkStart w:id="8" w:name="_Toc10648"/>
      <w:r>
        <w:rPr>
          <w:rFonts w:hint="eastAsia" w:ascii="黑体" w:hAnsi="黑体" w:eastAsia="黑体" w:cs="黑体"/>
          <w:b w:val="0"/>
          <w:bCs w:val="0"/>
          <w:i w:val="0"/>
          <w:caps w:val="0"/>
          <w:color w:val="auto"/>
          <w:spacing w:val="0"/>
          <w:sz w:val="32"/>
          <w:szCs w:val="32"/>
          <w:lang w:eastAsia="zh-CN"/>
        </w:rPr>
        <w:t>四、建设内容</w:t>
      </w:r>
      <w:bookmarkEnd w:id="8"/>
    </w:p>
    <w:p w14:paraId="34852BB8">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i w:val="0"/>
          <w:caps w:val="0"/>
          <w:color w:val="auto"/>
          <w:spacing w:val="0"/>
          <w:w w:val="100"/>
          <w:kern w:val="0"/>
          <w:sz w:val="32"/>
          <w:szCs w:val="32"/>
          <w:lang w:val="en-US" w:eastAsia="zh-CN" w:bidi="mn-Mong-CN"/>
        </w:rPr>
      </w:pPr>
      <w:r>
        <w:rPr>
          <w:rFonts w:hint="eastAsia" w:ascii="仿宋_GB2312" w:hAnsi="仿宋_GB2312" w:eastAsia="仿宋_GB2312" w:cs="仿宋_GB2312"/>
          <w:b w:val="0"/>
          <w:bCs w:val="0"/>
          <w:i w:val="0"/>
          <w:caps w:val="0"/>
          <w:color w:val="auto"/>
          <w:spacing w:val="0"/>
          <w:w w:val="100"/>
          <w:kern w:val="0"/>
          <w:sz w:val="32"/>
          <w:szCs w:val="32"/>
          <w:lang w:val="en-US" w:eastAsia="zh-CN" w:bidi="mn-Mong-CN"/>
        </w:rPr>
        <w:t>2026年度衔接推进乡村振兴（少数民族发展任务）补助资金项目计划包括6个苏木乡的个项目，资金规模860.8万元，其中优势特色产业发展类项目4个，计划投入658.8万元万元；宜居宜业和美乡村建设类项目3个，计划投入182万元，守底线补短板类项目2个，计划投入20万元（包括项目管理费10万元）。实际投资金额以最终设计、招投标、审计结算额为准。具体项目内容如下：</w:t>
      </w:r>
    </w:p>
    <w:p w14:paraId="7C4E3155">
      <w:pPr>
        <w:pStyle w:val="2"/>
        <w:ind w:firstLine="640" w:firstLineChars="200"/>
        <w:jc w:val="left"/>
        <w:rPr>
          <w:rFonts w:hint="eastAsia" w:ascii="楷体" w:hAnsi="楷体" w:eastAsia="楷体" w:cs="楷体"/>
          <w:lang w:val="en-US" w:eastAsia="zh-CN"/>
        </w:rPr>
      </w:pPr>
      <w:r>
        <w:rPr>
          <w:rFonts w:hint="eastAsia" w:ascii="楷体" w:hAnsi="楷体" w:eastAsia="楷体" w:cs="楷体"/>
          <w:b w:val="0"/>
          <w:bCs w:val="0"/>
          <w:i w:val="0"/>
          <w:caps w:val="0"/>
          <w:color w:val="auto"/>
          <w:spacing w:val="0"/>
          <w:w w:val="100"/>
          <w:kern w:val="0"/>
          <w:sz w:val="32"/>
          <w:szCs w:val="32"/>
          <w:lang w:val="en-US" w:eastAsia="zh-CN" w:bidi="mn-Mong-CN"/>
        </w:rPr>
        <w:t>（一）优势特色产业发展</w:t>
      </w:r>
    </w:p>
    <w:p w14:paraId="7677B9F0">
      <w:pPr>
        <w:pStyle w:val="2"/>
        <w:numPr>
          <w:ilvl w:val="0"/>
          <w:numId w:val="1"/>
        </w:numPr>
        <w:spacing w:before="0" w:after="0"/>
        <w:ind w:left="200" w:leftChars="0" w:firstLine="640" w:firstLineChars="0"/>
        <w:jc w:val="left"/>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辉苏木辉道嘎查饲草储备库项目：新建饲草储备库2000平方米一座。</w:t>
      </w:r>
      <w:r>
        <w:rPr>
          <w:rFonts w:hint="eastAsia" w:ascii="仿宋_GB2312" w:hAnsi="仿宋_GB2312" w:eastAsia="仿宋_GB2312" w:cs="仿宋_GB2312"/>
          <w:b w:val="0"/>
          <w:bCs w:val="0"/>
          <w:color w:val="auto"/>
          <w:kern w:val="2"/>
          <w:sz w:val="32"/>
          <w:szCs w:val="32"/>
          <w:lang w:val="en-US" w:eastAsia="zh-CN" w:bidi="ar-SA"/>
        </w:rPr>
        <w:tab/>
      </w:r>
      <w:r>
        <w:rPr>
          <w:rFonts w:hint="eastAsia" w:ascii="仿宋_GB2312" w:hAnsi="仿宋_GB2312" w:eastAsia="仿宋_GB2312" w:cs="仿宋_GB2312"/>
          <w:b w:val="0"/>
          <w:bCs w:val="0"/>
          <w:color w:val="auto"/>
          <w:kern w:val="2"/>
          <w:sz w:val="32"/>
          <w:szCs w:val="32"/>
          <w:lang w:val="en-US" w:eastAsia="zh-CN" w:bidi="ar-SA"/>
        </w:rPr>
        <w:t>计划投资200万元，通过项目的实施提高牧民收入，提升经济发展速度，带动产业结构调整，壮大集体经济，带动脱贫户稳定增收。</w:t>
      </w:r>
    </w:p>
    <w:p w14:paraId="14229105">
      <w:pPr>
        <w:pStyle w:val="2"/>
        <w:numPr>
          <w:ilvl w:val="0"/>
          <w:numId w:val="1"/>
        </w:numPr>
        <w:spacing w:before="0" w:after="0"/>
        <w:ind w:left="200" w:leftChars="0" w:firstLine="640" w:firstLineChars="0"/>
        <w:jc w:val="left"/>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巴彦嵯岗苏木阿拉坦敖希特嘎查饲草加工基地升级扩建项目</w:t>
      </w:r>
      <w:r>
        <w:rPr>
          <w:rFonts w:hint="eastAsia" w:ascii="仿宋_GB2312" w:hAnsi="仿宋_GB2312" w:eastAsia="仿宋_GB2312" w:cs="仿宋_GB2312"/>
          <w:b w:val="0"/>
          <w:bCs w:val="0"/>
          <w:color w:val="auto"/>
          <w:kern w:val="2"/>
          <w:sz w:val="32"/>
          <w:szCs w:val="32"/>
          <w:lang w:val="en-US" w:eastAsia="zh-CN" w:bidi="ar-SA"/>
        </w:rPr>
        <w:t>：新建饲草加工钢结构棚2000平米，地面硬化2000平米，配套厂区内照明和监控等设施，计划投资160万元，持续完善饲草加工基地建设，打造覆盖巴彦嵯岗苏木饲草储备和加工的新型产业链，有效解决牧民就业问题，提升经济发展速度，带动产业结构调整，不断嘎查壮大集体经济。</w:t>
      </w:r>
    </w:p>
    <w:p w14:paraId="2917C91E">
      <w:pPr>
        <w:pStyle w:val="2"/>
        <w:numPr>
          <w:ilvl w:val="0"/>
          <w:numId w:val="1"/>
        </w:numPr>
        <w:spacing w:before="0" w:after="0"/>
        <w:ind w:left="200" w:leftChars="0" w:firstLine="640" w:firstLineChars="0"/>
        <w:jc w:val="left"/>
        <w:rPr>
          <w:rFonts w:hint="eastAsia"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伊兰嘎查达斡尔文化旅游民俗村房车露营地建设项目</w:t>
      </w:r>
      <w:r>
        <w:rPr>
          <w:rFonts w:hint="eastAsia" w:ascii="仿宋_GB2312" w:hAnsi="仿宋_GB2312" w:eastAsia="仿宋_GB2312" w:cs="仿宋_GB2312"/>
          <w:b w:val="0"/>
          <w:bCs w:val="0"/>
          <w:color w:val="auto"/>
          <w:kern w:val="2"/>
          <w:sz w:val="32"/>
          <w:szCs w:val="32"/>
          <w:lang w:val="en-US" w:eastAsia="zh-CN" w:bidi="ar-SA"/>
        </w:rPr>
        <w:t>，新建2600平方米房车地面硬化、新建房车充电桩5座、供水管网、50平方米综合用房、600平方米露营棚，计划投资148.8万元，壮大集体经济，带动贫困人口稳定收入。</w:t>
      </w:r>
    </w:p>
    <w:p w14:paraId="7CBFB9EE">
      <w:pPr>
        <w:pStyle w:val="2"/>
        <w:numPr>
          <w:ilvl w:val="0"/>
          <w:numId w:val="1"/>
        </w:numPr>
        <w:spacing w:before="0" w:after="0"/>
        <w:ind w:left="200" w:leftChars="0" w:firstLine="640" w:firstLineChars="0"/>
        <w:jc w:val="left"/>
        <w:rPr>
          <w:rFonts w:hint="eastAsia"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锡尼河西苏木特莫胡珠嘎查集体经济购置设备项目</w:t>
      </w:r>
      <w:r>
        <w:rPr>
          <w:rFonts w:hint="eastAsia" w:ascii="仿宋_GB2312" w:hAnsi="仿宋_GB2312" w:eastAsia="仿宋_GB2312" w:cs="仿宋_GB2312"/>
          <w:b w:val="0"/>
          <w:bCs w:val="0"/>
          <w:color w:val="auto"/>
          <w:kern w:val="2"/>
          <w:sz w:val="32"/>
          <w:szCs w:val="32"/>
          <w:lang w:val="en-US" w:eastAsia="zh-CN" w:bidi="ar-SA"/>
        </w:rPr>
        <w:t>，购置大型拖拉机2台、 打捆机1台、牵引式搂草机2台、 牵引型双联刀打草机5台、中型拖拉机1台 、小型拖拉机5台、拉草拖车1台，计划投资150万元，项目的落实发展壮大嘎查集体经济收入7.5万元。为嘎查牧户提供1个工作岗位，降低嘎查牧民养殖成本，从而增加收入。</w:t>
      </w:r>
    </w:p>
    <w:p w14:paraId="33F62F5B">
      <w:pPr>
        <w:ind w:firstLine="640" w:firstLineChars="200"/>
        <w:rPr>
          <w:rFonts w:hint="eastAsia" w:ascii="楷体" w:hAnsi="楷体" w:eastAsia="楷体" w:cs="楷体"/>
          <w:lang w:val="en-US" w:eastAsia="zh-CN"/>
        </w:rPr>
      </w:pPr>
      <w:r>
        <w:rPr>
          <w:rFonts w:hint="eastAsia" w:ascii="楷体" w:hAnsi="楷体" w:eastAsia="楷体" w:cs="楷体"/>
          <w:b w:val="0"/>
          <w:bCs w:val="0"/>
          <w:color w:val="auto"/>
          <w:kern w:val="2"/>
          <w:sz w:val="32"/>
          <w:szCs w:val="32"/>
          <w:lang w:val="en-US" w:eastAsia="zh-CN" w:bidi="ar-SA"/>
        </w:rPr>
        <w:t>（二）宜居宜业和美乡村建设</w:t>
      </w:r>
    </w:p>
    <w:p w14:paraId="70C7B5B1">
      <w:pPr>
        <w:pStyle w:val="2"/>
        <w:numPr>
          <w:ilvl w:val="0"/>
          <w:numId w:val="1"/>
        </w:numPr>
        <w:spacing w:before="0" w:after="0"/>
        <w:ind w:left="200" w:leftChars="0" w:firstLine="640" w:firstLineChars="0"/>
        <w:jc w:val="left"/>
        <w:rPr>
          <w:rFonts w:hint="eastAsia"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巴彦托海镇马蹄坑嘎查集体经济铲车购置项目</w:t>
      </w:r>
      <w:r>
        <w:rPr>
          <w:rFonts w:hint="eastAsia" w:ascii="仿宋_GB2312" w:hAnsi="仿宋_GB2312" w:eastAsia="仿宋_GB2312" w:cs="仿宋_GB2312"/>
          <w:b w:val="0"/>
          <w:bCs w:val="0"/>
          <w:color w:val="auto"/>
          <w:kern w:val="2"/>
          <w:sz w:val="32"/>
          <w:szCs w:val="32"/>
          <w:lang w:val="en-US" w:eastAsia="zh-CN" w:bidi="ar-SA"/>
        </w:rPr>
        <w:t>，购置柳工牌50铲车1辆，计划投资40万元，用于嘎查社会服务工作，减少嘎查车辆租赁费用。</w:t>
      </w:r>
    </w:p>
    <w:p w14:paraId="07873F59">
      <w:pPr>
        <w:pStyle w:val="2"/>
        <w:numPr>
          <w:ilvl w:val="0"/>
          <w:numId w:val="1"/>
        </w:numPr>
        <w:spacing w:before="0" w:after="0"/>
        <w:ind w:left="200" w:leftChars="0" w:firstLine="640" w:firstLineChars="0"/>
        <w:jc w:val="left"/>
        <w:rPr>
          <w:rFonts w:hint="eastAsia"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伊敏苏木公共照明设施项目</w:t>
      </w:r>
      <w:r>
        <w:rPr>
          <w:rFonts w:hint="eastAsia" w:ascii="仿宋_GB2312" w:hAnsi="仿宋_GB2312" w:eastAsia="仿宋_GB2312" w:cs="仿宋_GB2312"/>
          <w:b w:val="0"/>
          <w:bCs w:val="0"/>
          <w:color w:val="auto"/>
          <w:kern w:val="2"/>
          <w:sz w:val="32"/>
          <w:szCs w:val="32"/>
          <w:lang w:val="en-US" w:eastAsia="zh-CN" w:bidi="ar-SA"/>
        </w:rPr>
        <w:t>，巴音塔拉嘎查、阿贵图嘎查各路段更换旧路灯60盏、新建路灯20盏，计划投资40万元，解决嘎查牧民出行和生产生活需求问题</w:t>
      </w:r>
    </w:p>
    <w:p w14:paraId="30C5EE9D">
      <w:pPr>
        <w:pStyle w:val="2"/>
        <w:numPr>
          <w:ilvl w:val="0"/>
          <w:numId w:val="1"/>
        </w:numPr>
        <w:spacing w:before="0" w:after="0"/>
        <w:ind w:left="200" w:leftChars="0" w:firstLine="640" w:firstLineChars="0"/>
        <w:jc w:val="left"/>
        <w:rPr>
          <w:rFonts w:hint="eastAsia"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伊敏苏木小型公益设备购置项目</w:t>
      </w:r>
      <w:r>
        <w:rPr>
          <w:rFonts w:hint="eastAsia" w:ascii="仿宋_GB2312" w:hAnsi="仿宋_GB2312" w:eastAsia="仿宋_GB2312" w:cs="仿宋_GB2312"/>
          <w:b w:val="0"/>
          <w:bCs w:val="0"/>
          <w:color w:val="auto"/>
          <w:kern w:val="2"/>
          <w:sz w:val="32"/>
          <w:szCs w:val="32"/>
          <w:lang w:val="en-US" w:eastAsia="zh-CN" w:bidi="ar-SA"/>
        </w:rPr>
        <w:t>，购买翻斗车2辆分给伊敏嘎查、吉敦猎民嘎查，龙工50型铲车1辆分给伊敏嘎查，计划投资102万元，完善嘎查基础设备，强化嘎查抗灾救灾推雪开道能力，促进各族群众交往交流交融</w:t>
      </w:r>
    </w:p>
    <w:p w14:paraId="7055A9AC">
      <w:pPr>
        <w:rPr>
          <w:rFonts w:hint="default"/>
          <w:lang w:val="en-US" w:eastAsia="zh-CN"/>
        </w:rPr>
      </w:pPr>
      <w:r>
        <w:rPr>
          <w:rFonts w:hint="eastAsia" w:ascii="仿宋_GB2312" w:hAnsi="仿宋_GB2312" w:eastAsia="仿宋_GB2312" w:cs="仿宋_GB2312"/>
          <w:b w:val="0"/>
          <w:bCs w:val="0"/>
          <w:color w:val="auto"/>
          <w:kern w:val="2"/>
          <w:sz w:val="32"/>
          <w:szCs w:val="32"/>
          <w:lang w:val="en-US" w:eastAsia="zh-CN" w:bidi="ar-SA"/>
        </w:rPr>
        <w:t xml:space="preserve">     </w:t>
      </w:r>
      <w:r>
        <w:rPr>
          <w:rFonts w:hint="eastAsia" w:ascii="楷体" w:hAnsi="楷体" w:eastAsia="楷体" w:cs="楷体"/>
          <w:b w:val="0"/>
          <w:bCs w:val="0"/>
          <w:color w:val="auto"/>
          <w:kern w:val="2"/>
          <w:sz w:val="32"/>
          <w:szCs w:val="32"/>
          <w:lang w:val="en-US" w:eastAsia="zh-CN" w:bidi="ar-SA"/>
        </w:rPr>
        <w:t>（三）守底线补短板</w:t>
      </w:r>
    </w:p>
    <w:p w14:paraId="14B15F52">
      <w:pPr>
        <w:pStyle w:val="2"/>
        <w:numPr>
          <w:ilvl w:val="0"/>
          <w:numId w:val="1"/>
        </w:numPr>
        <w:spacing w:before="0" w:after="0"/>
        <w:ind w:left="200" w:leftChars="0" w:firstLine="640" w:firstLineChars="0"/>
        <w:jc w:val="left"/>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铸牢中华民族共同体意识主题技能培训项目（三期）组织举办铸牢中华民族共同体意识、乡村振兴、民族团结进步创建、畜牧业转型升级等内容和各类技能培训</w:t>
      </w:r>
      <w:r>
        <w:rPr>
          <w:rFonts w:hint="eastAsia" w:ascii="仿宋_GB2312" w:hAnsi="仿宋_GB2312" w:eastAsia="仿宋_GB2312" w:cs="仿宋_GB2312"/>
          <w:b w:val="0"/>
          <w:bCs w:val="0"/>
          <w:color w:val="auto"/>
          <w:kern w:val="2"/>
          <w:sz w:val="32"/>
          <w:szCs w:val="32"/>
          <w:lang w:val="en-US" w:eastAsia="zh-CN" w:bidi="ar-SA"/>
        </w:rPr>
        <w:t>，计划投资10万元，通过培训拓宽牧民就业渠道，提高收入。</w:t>
      </w:r>
    </w:p>
    <w:p w14:paraId="363A1667">
      <w:pPr>
        <w:ind w:firstLine="960" w:firstLineChars="300"/>
        <w:rPr>
          <w:rFonts w:hint="default"/>
          <w:lang w:val="en-US" w:eastAsia="zh-CN"/>
        </w:rPr>
      </w:pPr>
      <w:r>
        <w:rPr>
          <w:rFonts w:hint="eastAsia" w:ascii="仿宋_GB2312" w:hAnsi="仿宋_GB2312" w:eastAsia="仿宋_GB2312" w:cs="仿宋_GB2312"/>
          <w:b w:val="0"/>
          <w:bCs w:val="0"/>
          <w:color w:val="auto"/>
          <w:kern w:val="2"/>
          <w:sz w:val="32"/>
          <w:szCs w:val="32"/>
          <w:lang w:val="en-US" w:eastAsia="zh-CN" w:bidi="ar-SA"/>
        </w:rPr>
        <w:t>9、项目管理费，用于项目管理方面的支出，计划投资10万元。</w:t>
      </w:r>
    </w:p>
    <w:p w14:paraId="312B2CF9">
      <w:pPr>
        <w:rPr>
          <w:rFonts w:hint="eastAsia" w:ascii="黑体" w:hAnsi="黑体" w:eastAsia="黑体" w:cs="黑体"/>
          <w:b w:val="0"/>
          <w:bCs w:val="0"/>
          <w:color w:val="auto"/>
          <w:sz w:val="32"/>
          <w:szCs w:val="32"/>
          <w:highlight w:val="none"/>
          <w:lang w:val="en-US" w:eastAsia="zh-CN"/>
        </w:rPr>
      </w:pPr>
      <w:r>
        <w:rPr>
          <w:rFonts w:hint="eastAsia" w:ascii="仿宋_GB2312" w:hAnsi="仿宋_GB2312" w:eastAsia="仿宋_GB2312" w:cs="仿宋_GB2312"/>
          <w:b w:val="0"/>
          <w:bCs w:val="0"/>
          <w:color w:val="auto"/>
          <w:kern w:val="2"/>
          <w:sz w:val="32"/>
          <w:szCs w:val="32"/>
          <w:lang w:val="en-US" w:eastAsia="zh-CN" w:bidi="ar-SA"/>
        </w:rPr>
        <w:t xml:space="preserve">     </w:t>
      </w:r>
      <w:bookmarkStart w:id="9" w:name="_Toc22177"/>
      <w:r>
        <w:rPr>
          <w:rFonts w:hint="eastAsia" w:ascii="黑体" w:hAnsi="黑体" w:eastAsia="黑体" w:cs="黑体"/>
          <w:b w:val="0"/>
          <w:bCs w:val="0"/>
          <w:color w:val="auto"/>
          <w:sz w:val="32"/>
          <w:szCs w:val="32"/>
          <w:highlight w:val="none"/>
          <w:lang w:val="en-US" w:eastAsia="zh-CN"/>
        </w:rPr>
        <w:t>五、项目时间进度</w:t>
      </w:r>
      <w:bookmarkEnd w:id="9"/>
    </w:p>
    <w:p w14:paraId="2031879E">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1、2025年11月-2026年1月项目前期准备阶段。</w:t>
      </w:r>
    </w:p>
    <w:p w14:paraId="31413AC0">
      <w:pPr>
        <w:pStyle w:val="2"/>
        <w:ind w:firstLine="640" w:firstLineChars="200"/>
        <w:jc w:val="both"/>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2、2026年1月-2026年11月实施阶段</w:t>
      </w:r>
    </w:p>
    <w:p w14:paraId="0F4A2AF3">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3、2025年12月验收并交付使用。</w:t>
      </w:r>
    </w:p>
    <w:p w14:paraId="50CFC62E">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val="0"/>
          <w:color w:val="auto"/>
          <w:sz w:val="32"/>
          <w:szCs w:val="32"/>
          <w:highlight w:val="none"/>
          <w:lang w:val="en-US" w:eastAsia="zh-CN"/>
        </w:rPr>
      </w:pPr>
      <w:bookmarkStart w:id="10" w:name="_Toc2242"/>
      <w:r>
        <w:rPr>
          <w:rFonts w:hint="eastAsia" w:ascii="黑体" w:hAnsi="黑体" w:eastAsia="黑体" w:cs="黑体"/>
          <w:b w:val="0"/>
          <w:bCs w:val="0"/>
          <w:color w:val="auto"/>
          <w:sz w:val="32"/>
          <w:szCs w:val="32"/>
          <w:highlight w:val="none"/>
          <w:lang w:val="en-US" w:eastAsia="zh-CN"/>
        </w:rPr>
        <w:t>六、资金来源</w:t>
      </w:r>
      <w:bookmarkEnd w:id="10"/>
    </w:p>
    <w:p w14:paraId="3AC32810">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2026年衔中央、自治区接推进乡村振兴（少数民族发展任务）补助资金。</w:t>
      </w:r>
    </w:p>
    <w:p w14:paraId="674C2FD4">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楷体" w:hAnsi="楷体" w:eastAsia="楷体" w:cs="楷体"/>
          <w:b w:val="0"/>
          <w:bCs w:val="0"/>
          <w:color w:val="auto"/>
          <w:sz w:val="32"/>
          <w:szCs w:val="32"/>
          <w:lang w:val="en-US" w:eastAsia="zh-CN"/>
        </w:rPr>
      </w:pPr>
      <w:r>
        <w:rPr>
          <w:rFonts w:hint="eastAsia" w:ascii="黑体" w:hAnsi="黑体" w:eastAsia="黑体" w:cs="黑体"/>
          <w:b w:val="0"/>
          <w:bCs w:val="0"/>
          <w:color w:val="auto"/>
          <w:sz w:val="32"/>
          <w:szCs w:val="32"/>
          <w:highlight w:val="none"/>
          <w:lang w:val="en-US" w:eastAsia="zh-CN"/>
        </w:rPr>
        <w:t>七、资金分配</w:t>
      </w:r>
    </w:p>
    <w:p w14:paraId="6FAC7F65">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1、2026年衔中央、中央接推进乡村振兴（少数民族发展任务）补助资金下达后，优先对以上项目进行资金安排、调剂，做好资金保障，推进项目工作有序开展。</w:t>
      </w:r>
    </w:p>
    <w:p w14:paraId="4FFBDCDB">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default" w:ascii="黑体" w:hAnsi="黑体" w:eastAsia="黑体" w:cs="黑体"/>
          <w:b w:val="0"/>
          <w:bCs w:val="0"/>
          <w:color w:val="auto"/>
          <w:sz w:val="32"/>
          <w:szCs w:val="32"/>
          <w:highlight w:val="none"/>
          <w:lang w:val="en-US" w:eastAsia="zh-CN"/>
        </w:rPr>
      </w:pPr>
      <w:bookmarkStart w:id="11" w:name="_Toc6225"/>
      <w:r>
        <w:rPr>
          <w:rFonts w:hint="eastAsia" w:ascii="仿宋" w:hAnsi="仿宋" w:eastAsia="仿宋" w:cs="仿宋"/>
          <w:color w:val="auto"/>
          <w:sz w:val="32"/>
          <w:szCs w:val="32"/>
          <w:highlight w:val="none"/>
          <w:lang w:val="en-US" w:eastAsia="zh-CN"/>
        </w:rPr>
        <w:t>2、2026年衔接推进乡村振兴（少数民族发展任务）补助资金下达后</w:t>
      </w:r>
      <w:r>
        <w:rPr>
          <w:rFonts w:hint="eastAsia" w:ascii="仿宋_GB2312" w:hAnsi="仿宋_GB2312" w:eastAsia="仿宋_GB2312" w:cs="仿宋_GB2312"/>
          <w:b w:val="0"/>
          <w:bCs w:val="0"/>
          <w:i w:val="0"/>
          <w:caps w:val="0"/>
          <w:color w:val="auto"/>
          <w:spacing w:val="0"/>
          <w:w w:val="100"/>
          <w:kern w:val="0"/>
          <w:sz w:val="32"/>
          <w:szCs w:val="32"/>
          <w:lang w:val="en-US" w:eastAsia="zh-CN" w:bidi="mn-Mong-CN"/>
        </w:rPr>
        <w:t>提取1%的项目管理费。</w:t>
      </w:r>
    </w:p>
    <w:p w14:paraId="1FB952FE">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楷体" w:hAnsi="楷体" w:eastAsia="楷体" w:cs="楷体"/>
          <w:b w:val="0"/>
          <w:bCs w:val="0"/>
          <w:color w:val="auto"/>
          <w:sz w:val="32"/>
          <w:szCs w:val="32"/>
          <w:lang w:val="en-US" w:eastAsia="zh-CN"/>
        </w:rPr>
      </w:pPr>
      <w:r>
        <w:rPr>
          <w:rFonts w:hint="eastAsia" w:ascii="黑体" w:hAnsi="黑体" w:eastAsia="黑体" w:cs="黑体"/>
          <w:b w:val="0"/>
          <w:bCs w:val="0"/>
          <w:color w:val="auto"/>
          <w:sz w:val="32"/>
          <w:szCs w:val="32"/>
          <w:highlight w:val="none"/>
          <w:lang w:val="en-US" w:eastAsia="zh-CN"/>
        </w:rPr>
        <w:t>八、项目及资金管理</w:t>
      </w:r>
      <w:bookmarkEnd w:id="11"/>
      <w:bookmarkStart w:id="12" w:name="_Toc19837"/>
      <w:bookmarkStart w:id="13" w:name="_Toc18415"/>
      <w:bookmarkStart w:id="14" w:name="_Toc20442"/>
    </w:p>
    <w:p w14:paraId="4EFA553A">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楷体" w:hAnsi="楷体" w:eastAsia="楷体" w:cs="楷体"/>
          <w:color w:val="auto"/>
          <w:sz w:val="32"/>
          <w:szCs w:val="32"/>
          <w:lang w:val="en-US" w:eastAsia="zh-CN"/>
        </w:rPr>
        <w:t>（一）实施阶段</w:t>
      </w:r>
      <w:bookmarkEnd w:id="12"/>
      <w:bookmarkEnd w:id="13"/>
      <w:bookmarkEnd w:id="14"/>
      <w:r>
        <w:rPr>
          <w:rFonts w:hint="eastAsia" w:ascii="楷体" w:hAnsi="楷体" w:eastAsia="楷体" w:cs="楷体"/>
          <w:color w:val="auto"/>
          <w:sz w:val="32"/>
          <w:szCs w:val="32"/>
          <w:lang w:val="en-US" w:eastAsia="zh-CN"/>
        </w:rPr>
        <w:t>：</w:t>
      </w:r>
      <w:r>
        <w:rPr>
          <w:rFonts w:hint="eastAsia" w:ascii="仿宋_GB2312" w:hAnsi="仿宋_GB2312" w:eastAsia="仿宋_GB2312" w:cs="仿宋_GB2312"/>
          <w:color w:val="auto"/>
          <w:sz w:val="32"/>
          <w:szCs w:val="32"/>
          <w:lang w:val="en-US" w:eastAsia="zh-CN"/>
        </w:rPr>
        <w:t>项目由苏木乡镇政府组织实施，成立项目工作小组，负责项目前期工作和建设工作。项目实施过程中</w:t>
      </w:r>
      <w:r>
        <w:rPr>
          <w:rFonts w:hint="eastAsia" w:ascii="仿宋_GB2312" w:hAnsi="仿宋_GB2312" w:eastAsia="仿宋_GB2312" w:cs="仿宋_GB2312"/>
          <w:color w:val="auto"/>
          <w:sz w:val="32"/>
          <w:szCs w:val="32"/>
        </w:rPr>
        <w:t>推进政务公开，资金政策文件、管理制度、资金分配结果等信息及时向社会公开，接受社会监督</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以规范程序按时完成。</w:t>
      </w:r>
    </w:p>
    <w:p w14:paraId="182FC11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lang w:val="en-US" w:eastAsia="zh-CN"/>
        </w:rPr>
      </w:pPr>
      <w:bookmarkStart w:id="15" w:name="_Toc25296"/>
      <w:bookmarkStart w:id="16" w:name="_Toc23450"/>
      <w:bookmarkStart w:id="17" w:name="_Toc17325"/>
      <w:bookmarkStart w:id="18" w:name="_Toc28526"/>
      <w:bookmarkStart w:id="19" w:name="_Toc31738"/>
      <w:r>
        <w:rPr>
          <w:rFonts w:hint="eastAsia" w:ascii="楷体" w:hAnsi="楷体" w:eastAsia="楷体" w:cs="楷体"/>
          <w:color w:val="auto"/>
          <w:sz w:val="32"/>
          <w:szCs w:val="32"/>
          <w:lang w:val="en-US" w:eastAsia="zh-CN"/>
        </w:rPr>
        <w:t>（二）建成后的运营管理</w:t>
      </w:r>
      <w:bookmarkEnd w:id="15"/>
      <w:bookmarkEnd w:id="16"/>
      <w:bookmarkEnd w:id="17"/>
      <w:bookmarkEnd w:id="18"/>
      <w:r>
        <w:rPr>
          <w:rFonts w:hint="eastAsia" w:ascii="楷体" w:hAnsi="楷体" w:eastAsia="楷体" w:cs="楷体"/>
          <w:color w:val="auto"/>
          <w:sz w:val="32"/>
          <w:szCs w:val="32"/>
          <w:lang w:val="en-US" w:eastAsia="zh-CN"/>
        </w:rPr>
        <w:t>：</w:t>
      </w:r>
      <w:r>
        <w:rPr>
          <w:rFonts w:hint="eastAsia" w:ascii="仿宋_GB2312" w:hAnsi="仿宋_GB2312" w:eastAsia="仿宋_GB2312" w:cs="仿宋_GB2312"/>
          <w:color w:val="auto"/>
          <w:sz w:val="32"/>
          <w:szCs w:val="32"/>
          <w:lang w:val="en-US" w:eastAsia="zh-CN"/>
        </w:rPr>
        <w:t>项目建成后嘎查集体经济类建设项目所有权归项目实施嘎查集体，由所在苏木乡监督，嘎查负责运营；公益类基础设施项目明确所属嘎查的由嘎查负责日常维护运营，没有明确所属嘎查的由苏木乡负责维护运营。</w:t>
      </w:r>
      <w:bookmarkEnd w:id="19"/>
    </w:p>
    <w:p w14:paraId="19500CE2">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eastAsia="仿宋_GB2312"/>
          <w:color w:val="auto"/>
          <w:sz w:val="32"/>
          <w:szCs w:val="32"/>
        </w:rPr>
      </w:pPr>
      <w:bookmarkStart w:id="20" w:name="_Toc14354"/>
      <w:bookmarkStart w:id="21" w:name="_Toc19821"/>
      <w:r>
        <w:rPr>
          <w:rFonts w:hint="eastAsia" w:ascii="楷体_GB2312" w:eastAsia="楷体_GB2312"/>
          <w:color w:val="auto"/>
          <w:sz w:val="32"/>
          <w:szCs w:val="32"/>
        </w:rPr>
        <w:t>（</w:t>
      </w:r>
      <w:r>
        <w:rPr>
          <w:rFonts w:hint="eastAsia" w:ascii="楷体_GB2312" w:eastAsia="楷体_GB2312"/>
          <w:color w:val="auto"/>
          <w:sz w:val="32"/>
          <w:szCs w:val="32"/>
          <w:lang w:eastAsia="zh-CN"/>
        </w:rPr>
        <w:t>三</w:t>
      </w:r>
      <w:r>
        <w:rPr>
          <w:rFonts w:hint="eastAsia" w:ascii="楷体_GB2312" w:eastAsia="楷体_GB2312"/>
          <w:color w:val="auto"/>
          <w:sz w:val="32"/>
          <w:szCs w:val="32"/>
        </w:rPr>
        <w:t>）健全项目档案和资产管理台账</w:t>
      </w:r>
      <w:bookmarkEnd w:id="20"/>
      <w:r>
        <w:rPr>
          <w:rFonts w:hint="eastAsia" w:ascii="楷体_GB2312" w:eastAsia="楷体_GB2312"/>
          <w:color w:val="auto"/>
          <w:sz w:val="32"/>
          <w:szCs w:val="32"/>
          <w:lang w:eastAsia="zh-CN"/>
        </w:rPr>
        <w:t>：</w:t>
      </w:r>
      <w:r>
        <w:rPr>
          <w:rFonts w:hint="eastAsia" w:ascii="仿宋_GB2312" w:hAnsi="仿宋_GB2312" w:eastAsia="仿宋_GB2312" w:cs="仿宋_GB2312"/>
          <w:color w:val="auto"/>
          <w:sz w:val="32"/>
          <w:szCs w:val="32"/>
          <w:lang w:val="en-US" w:eastAsia="zh-CN"/>
        </w:rPr>
        <w:t>各苏木乡镇、嘎查做到资金到项目、管理到项目、核算到项目、责任到项目、并落实绩效管理等各项要求。同时，建立健全项目资产管理台帐及项目资金台账，各项档案要按照档案管理的要求执行，做到有专人管理，并确保档案完整、安全。</w:t>
      </w:r>
      <w:bookmarkEnd w:id="21"/>
    </w:p>
    <w:p w14:paraId="27BD77DA">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eastAsia="仿宋_GB2312"/>
          <w:color w:val="auto"/>
          <w:sz w:val="32"/>
          <w:szCs w:val="32"/>
          <w:lang w:val="en-US" w:eastAsia="zh-CN"/>
        </w:rPr>
      </w:pPr>
      <w:bookmarkStart w:id="22" w:name="_Toc7734"/>
      <w:bookmarkStart w:id="23" w:name="_Toc2428"/>
      <w:r>
        <w:rPr>
          <w:rFonts w:hint="eastAsia" w:ascii="楷体_GB2312" w:eastAsia="楷体_GB2312"/>
          <w:color w:val="auto"/>
          <w:sz w:val="32"/>
          <w:szCs w:val="32"/>
        </w:rPr>
        <w:t>（</w:t>
      </w:r>
      <w:r>
        <w:rPr>
          <w:rFonts w:hint="eastAsia" w:ascii="楷体_GB2312" w:eastAsia="楷体_GB2312"/>
          <w:color w:val="auto"/>
          <w:sz w:val="32"/>
          <w:szCs w:val="32"/>
          <w:lang w:eastAsia="zh-CN"/>
        </w:rPr>
        <w:t>四</w:t>
      </w:r>
      <w:r>
        <w:rPr>
          <w:rFonts w:hint="eastAsia" w:ascii="楷体_GB2312" w:eastAsia="楷体_GB2312"/>
          <w:color w:val="auto"/>
          <w:sz w:val="32"/>
          <w:szCs w:val="32"/>
        </w:rPr>
        <w:t>）强化财政衔接资金使用管理</w:t>
      </w:r>
      <w:bookmarkEnd w:id="22"/>
      <w:r>
        <w:rPr>
          <w:rFonts w:hint="eastAsia" w:ascii="楷体_GB2312" w:eastAsia="楷体_GB2312"/>
          <w:color w:val="auto"/>
          <w:sz w:val="32"/>
          <w:szCs w:val="32"/>
          <w:lang w:eastAsia="zh-CN"/>
        </w:rPr>
        <w:t>：</w:t>
      </w:r>
      <w:r>
        <w:rPr>
          <w:rFonts w:hint="eastAsia" w:ascii="仿宋_GB2312" w:hAnsi="仿宋_GB2312" w:eastAsia="仿宋_GB2312" w:cs="仿宋_GB2312"/>
          <w:color w:val="auto"/>
          <w:sz w:val="32"/>
          <w:szCs w:val="32"/>
          <w:lang w:val="en-US" w:eastAsia="zh-CN"/>
        </w:rPr>
        <w:t>规范衔接资金使用范围，对各级财政安排的少数民族发展任务资金严格执行《中央财政衔接推进乡村振兴补助资金管理办法》（财农〔2021〕19号）、《内蒙古自治区衔接推进乡村振兴补助资金管理办法》（内财农规〔2022〕4号）和预算管理的有关使用原则和支出范围，资金拨付要做到及时、高效；严肃规范采购、招投标相关规定。</w:t>
      </w:r>
      <w:bookmarkEnd w:id="23"/>
      <w:r>
        <w:rPr>
          <w:rFonts w:hint="eastAsia" w:ascii="仿宋_GB2312" w:eastAsia="仿宋_GB2312"/>
          <w:color w:val="auto"/>
          <w:sz w:val="32"/>
          <w:szCs w:val="32"/>
          <w:lang w:val="en-US" w:eastAsia="zh-CN"/>
        </w:rPr>
        <w:t xml:space="preserve">    </w:t>
      </w:r>
    </w:p>
    <w:p w14:paraId="77C2670F">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color w:val="auto"/>
          <w:lang w:val="en-US" w:eastAsia="zh-CN"/>
        </w:rPr>
      </w:pPr>
      <w:r>
        <w:rPr>
          <w:rFonts w:hint="eastAsia" w:ascii="楷体" w:hAnsi="楷体" w:eastAsia="楷体" w:cs="楷体"/>
          <w:color w:val="auto"/>
          <w:sz w:val="32"/>
          <w:szCs w:val="32"/>
        </w:rPr>
        <w:t>（</w:t>
      </w:r>
      <w:r>
        <w:rPr>
          <w:rFonts w:hint="eastAsia" w:ascii="楷体" w:hAnsi="楷体" w:eastAsia="楷体" w:cs="楷体"/>
          <w:color w:val="auto"/>
          <w:sz w:val="32"/>
          <w:szCs w:val="32"/>
          <w:lang w:eastAsia="zh-CN"/>
        </w:rPr>
        <w:t>五</w:t>
      </w:r>
      <w:r>
        <w:rPr>
          <w:rFonts w:hint="eastAsia" w:ascii="楷体" w:hAnsi="楷体" w:eastAsia="楷体" w:cs="楷体"/>
          <w:color w:val="auto"/>
          <w:sz w:val="32"/>
          <w:szCs w:val="32"/>
        </w:rPr>
        <w:t>）强化</w:t>
      </w:r>
      <w:r>
        <w:rPr>
          <w:rFonts w:hint="eastAsia" w:ascii="楷体" w:hAnsi="楷体" w:eastAsia="楷体" w:cs="楷体"/>
          <w:color w:val="auto"/>
          <w:sz w:val="32"/>
          <w:szCs w:val="32"/>
          <w:lang w:eastAsia="zh-CN"/>
        </w:rPr>
        <w:t>监管</w:t>
      </w:r>
      <w:r>
        <w:rPr>
          <w:rFonts w:hint="eastAsia" w:ascii="楷体" w:hAnsi="楷体" w:eastAsia="楷体" w:cs="楷体"/>
          <w:color w:val="auto"/>
          <w:sz w:val="32"/>
          <w:szCs w:val="32"/>
        </w:rPr>
        <w:t>责任。</w:t>
      </w:r>
      <w:r>
        <w:rPr>
          <w:rFonts w:hint="eastAsia" w:ascii="仿宋_GB2312" w:hAnsi="仿宋_GB2312" w:eastAsia="仿宋_GB2312" w:cs="仿宋_GB2312"/>
          <w:color w:val="auto"/>
          <w:sz w:val="32"/>
          <w:szCs w:val="32"/>
          <w:lang w:val="en-US" w:eastAsia="zh-CN"/>
        </w:rPr>
        <w:t>各苏木乡镇党委政府主要领导要履行第一责任，对少数民族发展任务资金项目要上心上手、部署督战，确保项目落到实处，取得实效，强化资金监管，做好风险防控，提高风险防控能力。</w:t>
      </w:r>
    </w:p>
    <w:p w14:paraId="502CD17F">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val="0"/>
          <w:color w:val="auto"/>
          <w:sz w:val="32"/>
          <w:szCs w:val="32"/>
        </w:rPr>
      </w:pPr>
      <w:bookmarkStart w:id="24" w:name="_Toc4874"/>
      <w:r>
        <w:rPr>
          <w:rFonts w:hint="eastAsia" w:ascii="黑体" w:hAnsi="黑体" w:eastAsia="黑体" w:cs="黑体"/>
          <w:b w:val="0"/>
          <w:bCs w:val="0"/>
          <w:color w:val="auto"/>
          <w:sz w:val="32"/>
          <w:szCs w:val="32"/>
          <w:lang w:eastAsia="zh-CN"/>
        </w:rPr>
        <w:t>九、</w:t>
      </w:r>
      <w:r>
        <w:rPr>
          <w:rFonts w:hint="eastAsia" w:ascii="黑体" w:hAnsi="黑体" w:eastAsia="黑体" w:cs="黑体"/>
          <w:b w:val="0"/>
          <w:bCs w:val="0"/>
          <w:color w:val="auto"/>
          <w:sz w:val="32"/>
          <w:szCs w:val="32"/>
        </w:rPr>
        <w:t>效益分析</w:t>
      </w:r>
      <w:bookmarkEnd w:id="24"/>
    </w:p>
    <w:p w14:paraId="6B99514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_GB2312" w:hAnsi="仿宋_GB2312" w:eastAsia="仿宋_GB2312" w:cs="仿宋_GB2312"/>
          <w:b w:val="0"/>
          <w:bCs w:val="0"/>
          <w:color w:val="auto"/>
          <w:kern w:val="2"/>
          <w:sz w:val="32"/>
          <w:szCs w:val="32"/>
          <w:lang w:val="en-US" w:eastAsia="zh-CN" w:bidi="ar-SA"/>
        </w:rPr>
      </w:pPr>
      <w:bookmarkStart w:id="25" w:name="_Toc4192"/>
      <w:r>
        <w:rPr>
          <w:rFonts w:hint="eastAsia" w:ascii="仿宋_GB2312" w:hAnsi="仿宋_GB2312" w:eastAsia="仿宋_GB2312" w:cs="仿宋_GB2312"/>
          <w:b w:val="0"/>
          <w:bCs w:val="0"/>
          <w:color w:val="auto"/>
          <w:kern w:val="2"/>
          <w:sz w:val="32"/>
          <w:szCs w:val="32"/>
          <w:lang w:val="en-US" w:eastAsia="zh-CN" w:bidi="ar-SA"/>
        </w:rPr>
        <w:t>1.通过衔接推进乡村振兴（少数民族发展任务）补助资金项目的实施不断深引导各族干部群众不断增强对伟大祖国的认同、对中华民族的认同、对中华文化的认同、对中国共产党的认同、对中国特色社会主义的认同，润物细无声地做好铸牢中华民族共同体意识宣传教育工作，引导各族干部群众牢固树立“四个与共”的共同体理念，让守望相助理念和“三个离不开”思想深深扎根于各族干部群众心中。</w:t>
      </w:r>
      <w:bookmarkEnd w:id="25"/>
    </w:p>
    <w:p w14:paraId="5CBF9120">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通过2026年衔接推进乡村振兴（少数民族发展任务）补助资金项目的实施，进一步完善村级基础设施，有效补齐牧区基础设施设备薄弱短板，促进环境保护力度，保护生态环境、实现经济、社会和环境的可持续发展。产业项目的实施促进嘎查集体经济向产业化、规模化、集约化方向发展，实施嘎查集体多渠道发展，增加就业机会，解放嘎查剩余劳动力和壮大嘎查集体经稳定增收的目标。</w:t>
      </w:r>
    </w:p>
    <w:p w14:paraId="621882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0"/>
        <w:rPr>
          <w:rFonts w:hint="eastAsia" w:ascii="黑体" w:hAnsi="黑体" w:eastAsia="黑体" w:cs="黑体"/>
          <w:b w:val="0"/>
          <w:bCs/>
          <w:color w:val="auto"/>
          <w:sz w:val="32"/>
          <w:szCs w:val="32"/>
          <w:lang w:val="en-US" w:eastAsia="zh-CN"/>
        </w:rPr>
      </w:pPr>
      <w:bookmarkStart w:id="26" w:name="_Toc19803"/>
      <w:bookmarkStart w:id="27" w:name="_Toc2369"/>
      <w:bookmarkStart w:id="28" w:name="_Toc19415"/>
      <w:bookmarkStart w:id="29" w:name="_Toc32594"/>
      <w:bookmarkStart w:id="30" w:name="_Toc4303"/>
      <w:r>
        <w:rPr>
          <w:rFonts w:hint="eastAsia" w:ascii="黑体" w:hAnsi="黑体" w:eastAsia="黑体" w:cs="黑体"/>
          <w:b w:val="0"/>
          <w:bCs/>
          <w:color w:val="auto"/>
          <w:sz w:val="32"/>
          <w:szCs w:val="32"/>
          <w:lang w:val="en-US" w:eastAsia="zh-CN"/>
        </w:rPr>
        <w:t>十、</w:t>
      </w:r>
      <w:bookmarkEnd w:id="26"/>
      <w:bookmarkEnd w:id="27"/>
      <w:bookmarkEnd w:id="28"/>
      <w:bookmarkEnd w:id="29"/>
      <w:bookmarkStart w:id="31" w:name="_Toc30515"/>
      <w:bookmarkStart w:id="32" w:name="_Toc22053"/>
      <w:bookmarkStart w:id="33" w:name="_Toc27890"/>
      <w:bookmarkStart w:id="34" w:name="_Toc31083"/>
      <w:r>
        <w:rPr>
          <w:rFonts w:hint="eastAsia" w:ascii="黑体" w:hAnsi="黑体" w:eastAsia="黑体" w:cs="黑体"/>
          <w:b w:val="0"/>
          <w:bCs/>
          <w:color w:val="auto"/>
          <w:sz w:val="32"/>
          <w:szCs w:val="32"/>
          <w:lang w:val="en-US" w:eastAsia="zh-CN"/>
        </w:rPr>
        <w:t>结论与建议</w:t>
      </w:r>
      <w:bookmarkEnd w:id="30"/>
      <w:bookmarkEnd w:id="31"/>
      <w:bookmarkEnd w:id="32"/>
      <w:bookmarkEnd w:id="33"/>
      <w:bookmarkEnd w:id="34"/>
    </w:p>
    <w:p w14:paraId="5387994D">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本项目的设计和建设符合国家、自治区巩固脱贫成果、乡村振兴政策的要求。项目建成以后，将会进一步提高项目区经济、社会和生态的全面协调发展，具有较好的经济和社会效益，建议予以批复实施。</w:t>
      </w:r>
    </w:p>
    <w:p w14:paraId="2B71B767">
      <w:pPr>
        <w:pStyle w:val="2"/>
        <w:keepNext w:val="0"/>
        <w:keepLines w:val="0"/>
        <w:pageBreakBefore w:val="0"/>
        <w:kinsoku/>
        <w:wordWrap/>
        <w:overflowPunct/>
        <w:topLinePunct w:val="0"/>
        <w:autoSpaceDE/>
        <w:autoSpaceDN/>
        <w:bidi w:val="0"/>
        <w:adjustRightInd/>
        <w:snapToGrid/>
        <w:spacing w:line="560" w:lineRule="exact"/>
        <w:ind w:left="1120" w:hanging="3363" w:hangingChars="400"/>
        <w:jc w:val="left"/>
        <w:textAlignment w:val="auto"/>
        <w:rPr>
          <w:rFonts w:hint="eastAsia" w:ascii="方正公文小标宋" w:hAnsi="方正公文小标宋" w:eastAsia="方正公文小标宋" w:cs="方正公文小标宋"/>
          <w:b/>
          <w:color w:val="auto"/>
          <w:sz w:val="84"/>
          <w:szCs w:val="84"/>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4A20DCE-3390-4229-8E85-495BA7D166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A3C8FCB-A52A-48EF-9450-ACC633080D83}"/>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embedRegular r:id="rId3" w:fontKey="{4B2ADAC4-4B54-47DC-BFFB-0D3D34B9D2A6}"/>
  </w:font>
  <w:font w:name="方正小标宋简体">
    <w:panose1 w:val="02000000000000000000"/>
    <w:charset w:val="86"/>
    <w:family w:val="auto"/>
    <w:pitch w:val="default"/>
    <w:sig w:usb0="A00002BF" w:usb1="184F6CFA" w:usb2="00000012" w:usb3="00000000" w:csb0="00040001" w:csb1="00000000"/>
    <w:embedRegular r:id="rId4" w:fontKey="{93554378-864D-4387-8BB6-5B6D085D450D}"/>
  </w:font>
  <w:font w:name="方正公文小标宋">
    <w:panose1 w:val="02000500000000000000"/>
    <w:charset w:val="86"/>
    <w:family w:val="auto"/>
    <w:pitch w:val="default"/>
    <w:sig w:usb0="A00002BF" w:usb1="38CF7CFA" w:usb2="00000016" w:usb3="00000000" w:csb0="00040001" w:csb1="00000000"/>
    <w:embedRegular r:id="rId5" w:fontKey="{08B74608-5C3D-4221-84AC-890F88E6723C}"/>
  </w:font>
  <w:font w:name="楷体">
    <w:panose1 w:val="02010609060101010101"/>
    <w:charset w:val="86"/>
    <w:family w:val="auto"/>
    <w:pitch w:val="default"/>
    <w:sig w:usb0="800002BF" w:usb1="38CF7CFA" w:usb2="00000016" w:usb3="00000000" w:csb0="00040001" w:csb1="00000000"/>
    <w:embedRegular r:id="rId6" w:fontKey="{BCBB4288-75D4-40D6-99C1-764CF34B3CE2}"/>
  </w:font>
  <w:font w:name="仿宋">
    <w:panose1 w:val="02010609060101010101"/>
    <w:charset w:val="86"/>
    <w:family w:val="auto"/>
    <w:pitch w:val="default"/>
    <w:sig w:usb0="800002BF" w:usb1="38CF7CFA" w:usb2="00000016" w:usb3="00000000" w:csb0="00040001" w:csb1="00000000"/>
    <w:embedRegular r:id="rId7" w:fontKey="{168C4493-C263-4409-A7E7-14FEF59BBD26}"/>
  </w:font>
  <w:font w:name="仿宋_GB2312">
    <w:panose1 w:val="02010609030101010101"/>
    <w:charset w:val="86"/>
    <w:family w:val="auto"/>
    <w:pitch w:val="default"/>
    <w:sig w:usb0="00000001" w:usb1="080E0000" w:usb2="00000000" w:usb3="00000000" w:csb0="00040000" w:csb1="00000000"/>
    <w:embedRegular r:id="rId8" w:fontKey="{8F7446BB-AB6B-47E3-BD59-87996C559AD3}"/>
  </w:font>
  <w:font w:name="WPSEMBED1">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E668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147D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FC147D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4F7598"/>
    <w:multiLevelType w:val="singleLevel"/>
    <w:tmpl w:val="B44F7598"/>
    <w:lvl w:ilvl="0" w:tentative="0">
      <w:start w:val="1"/>
      <w:numFmt w:val="decimal"/>
      <w:suff w:val="nothing"/>
      <w:lvlText w:val="%1、"/>
      <w:lvlJc w:val="left"/>
      <w:pPr>
        <w:ind w:left="2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5NTFhZjQ0ZDJkMmRkMWU0ZDcxYzY0OTIwNzQ2ZDQifQ=="/>
  </w:docVars>
  <w:rsids>
    <w:rsidRoot w:val="3BE217A9"/>
    <w:rsid w:val="07F83075"/>
    <w:rsid w:val="09766415"/>
    <w:rsid w:val="1A2C6FA3"/>
    <w:rsid w:val="2B967EE3"/>
    <w:rsid w:val="32140715"/>
    <w:rsid w:val="3300570E"/>
    <w:rsid w:val="36EC7E9B"/>
    <w:rsid w:val="370B1F5A"/>
    <w:rsid w:val="397D0DC9"/>
    <w:rsid w:val="3BE217A9"/>
    <w:rsid w:val="3F2C4C70"/>
    <w:rsid w:val="410758DC"/>
    <w:rsid w:val="534E3E61"/>
    <w:rsid w:val="53640308"/>
    <w:rsid w:val="57691C8B"/>
    <w:rsid w:val="5B3364F0"/>
    <w:rsid w:val="64042174"/>
    <w:rsid w:val="65E15F8A"/>
    <w:rsid w:val="6EE669BA"/>
    <w:rsid w:val="74A25132"/>
    <w:rsid w:val="7D785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Title"/>
    <w:basedOn w:val="1"/>
    <w:next w:val="1"/>
    <w:autoRedefine/>
    <w:qFormat/>
    <w:uiPriority w:val="99"/>
    <w:pPr>
      <w:spacing w:before="240" w:after="60"/>
      <w:jc w:val="center"/>
      <w:outlineLvl w:val="0"/>
    </w:pPr>
    <w:rPr>
      <w:rFonts w:ascii="Cambria" w:hAnsi="Cambria"/>
      <w:b/>
      <w:bCs/>
      <w:kern w:val="0"/>
      <w:sz w:val="32"/>
      <w:szCs w:val="32"/>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customStyle="1" w:styleId="9">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10">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1207</Words>
  <Characters>1214</Characters>
  <Lines>0</Lines>
  <Paragraphs>0</Paragraphs>
  <TotalTime>17</TotalTime>
  <ScaleCrop>false</ScaleCrop>
  <LinksUpToDate>false</LinksUpToDate>
  <CharactersWithSpaces>1250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2024-01-24T03:53:00Z</dcterms:created>
  <dc:creator>tOyA</dc:creator>
  <cp:lastModifiedBy>孙江辉</cp:lastModifiedBy>
  <cp:lastPrinted>2025-10-24T03:44:00Z</cp:lastPrinted>
  <dcterms:modified xsi:type="dcterms:W3CDTF">2026-03-02T08:13:31Z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B07E13FDC5B344199EB1D8557A9C717B_13</vt:lpwstr>
  </property>
  <property fmtid="{D5CDD505-2E9C-101B-9397-08002B2CF9AE}" pid="4" name="KSOTemplateDocerSaveRecord">
    <vt:lpwstr>eyJoZGlkIjoiODRkMDYxNDdjYTNjZDQxNTM1YWViYjhkMmJmNjc2YjMiLCJ1c2VySWQiOiI0NjAxOTE2MzMifQ==</vt:lpwstr>
  </property>
</Properties>
</file>