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700" w:lineRule="exact"/>
        <w:ind w:left="0" w:right="0" w:firstLine="420"/>
        <w:jc w:val="center"/>
        <w:textAlignment w:val="auto"/>
        <w:rPr>
          <w:rFonts w:hint="eastAsia" w:asciiTheme="majorEastAsia" w:hAnsiTheme="majorEastAsia" w:eastAsiaTheme="majorEastAsia" w:cstheme="majorEastAsia"/>
          <w:b/>
          <w:bCs w:val="0"/>
          <w:color w:val="000000"/>
          <w:sz w:val="44"/>
          <w:szCs w:val="44"/>
          <w:lang w:val="en-US" w:eastAsia="zh-CN"/>
        </w:rPr>
      </w:pPr>
      <w:r>
        <w:rPr>
          <w:rFonts w:hint="eastAsia" w:asciiTheme="majorEastAsia" w:hAnsiTheme="majorEastAsia" w:eastAsiaTheme="majorEastAsia" w:cstheme="majorEastAsia"/>
          <w:b/>
          <w:bCs w:val="0"/>
          <w:color w:val="000000"/>
          <w:sz w:val="44"/>
          <w:szCs w:val="44"/>
          <w:lang w:eastAsia="zh-CN"/>
        </w:rPr>
        <w:t>鄂温克旗林业和草原局</w:t>
      </w:r>
      <w:r>
        <w:rPr>
          <w:rFonts w:hint="eastAsia" w:asciiTheme="majorEastAsia" w:hAnsiTheme="majorEastAsia" w:eastAsiaTheme="majorEastAsia" w:cstheme="majorEastAsia"/>
          <w:b/>
          <w:bCs w:val="0"/>
          <w:color w:val="000000"/>
          <w:sz w:val="44"/>
          <w:szCs w:val="44"/>
          <w:lang w:val="en-US" w:eastAsia="zh-CN"/>
        </w:rPr>
        <w:t>2019年政府信息公开工作年度报告</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firstLine="640" w:firstLineChars="200"/>
        <w:jc w:val="both"/>
        <w:textAlignment w:val="auto"/>
        <w:rPr>
          <w:rFonts w:hint="eastAsia" w:asciiTheme="majorEastAsia" w:hAnsiTheme="majorEastAsia" w:eastAsiaTheme="majorEastAsia" w:cstheme="majorEastAsia"/>
          <w:b/>
          <w:bCs w:val="0"/>
          <w:color w:val="000000"/>
          <w:sz w:val="44"/>
          <w:szCs w:val="44"/>
          <w:lang w:val="en-US" w:eastAsia="zh-CN"/>
        </w:rPr>
      </w:pPr>
      <w:r>
        <w:rPr>
          <w:rFonts w:hint="eastAsia" w:ascii="仿宋_GB2312" w:hAnsi="仿宋_GB2312" w:eastAsia="仿宋_GB2312" w:cs="仿宋_GB2312"/>
          <w:color w:val="000000"/>
          <w:sz w:val="32"/>
          <w:szCs w:val="32"/>
          <w:lang w:eastAsia="zh-CN"/>
        </w:rPr>
        <w:t>按照《国务院办公厅政府信息与政务公开办公室关于政府信息公开工作年度报告有关事项的通知》（国办公开办函</w:t>
      </w:r>
      <w:r>
        <w:rPr>
          <w:rFonts w:hint="eastAsia" w:ascii="仿宋_GB2312" w:hAnsi="仿宋_GB2312" w:eastAsia="仿宋_GB2312" w:cs="仿宋_GB2312"/>
          <w:color w:val="000000"/>
          <w:sz w:val="32"/>
          <w:szCs w:val="32"/>
          <w:lang w:val="en-US" w:eastAsia="zh-CN"/>
        </w:rPr>
        <w:t>[2019]60号）、《中华人民共和国政府信息公开条例》（国令第711号）、《国务院办公厅关于印发2019年政务公开工作要点的通知》（国办发[2019]14号）文件要求。现将鄂温克旗林业和草原局2019年度政府信息公开工作年度报告如下：</w:t>
      </w:r>
    </w:p>
    <w:p>
      <w:pPr>
        <w:pStyle w:val="2"/>
        <w:keepNext w:val="0"/>
        <w:keepLines w:val="0"/>
        <w:pageBreakBefore w:val="0"/>
        <w:widowControl/>
        <w:numPr>
          <w:ilvl w:val="0"/>
          <w:numId w:val="1"/>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420"/>
        <w:jc w:val="both"/>
        <w:textAlignment w:val="auto"/>
        <w:rPr>
          <w:rFonts w:hint="eastAsia" w:ascii="仿宋_GB2312" w:hAnsi="仿宋_GB2312" w:eastAsia="仿宋_GB2312" w:cs="仿宋_GB2312"/>
          <w:b/>
          <w:color w:val="000000"/>
          <w:sz w:val="32"/>
          <w:szCs w:val="32"/>
        </w:rPr>
      </w:pPr>
      <w:r>
        <w:rPr>
          <w:rFonts w:hint="eastAsia" w:ascii="仿宋_GB2312" w:hAnsi="仿宋_GB2312" w:eastAsia="仿宋_GB2312" w:cs="仿宋_GB2312"/>
          <w:b/>
          <w:color w:val="000000"/>
          <w:sz w:val="32"/>
          <w:szCs w:val="32"/>
        </w:rPr>
        <w:t>总体情况</w:t>
      </w:r>
    </w:p>
    <w:p>
      <w:pPr>
        <w:keepNext w:val="0"/>
        <w:keepLines w:val="0"/>
        <w:pageBreakBefore w:val="0"/>
        <w:widowControl w:val="0"/>
        <w:kinsoku/>
        <w:wordWrap/>
        <w:overflowPunct/>
        <w:topLinePunct w:val="0"/>
        <w:autoSpaceDE/>
        <w:autoSpaceDN/>
        <w:bidi w:val="0"/>
        <w:adjustRightInd/>
        <w:snapToGrid/>
        <w:spacing w:line="560" w:lineRule="exact"/>
        <w:ind w:right="0" w:rightChars="0" w:firstLine="640" w:firstLineChars="200"/>
        <w:textAlignment w:val="auto"/>
        <w:outlineLvl w:val="9"/>
        <w:rPr>
          <w:rFonts w:hint="eastAsia" w:ascii="仿宋_GB2312" w:hAnsi="仿宋_GB2312" w:eastAsia="仿宋_GB2312" w:cs="仿宋_GB2312"/>
          <w:b/>
          <w:color w:val="000000"/>
          <w:sz w:val="32"/>
          <w:szCs w:val="32"/>
        </w:rPr>
      </w:pPr>
      <w:r>
        <w:rPr>
          <w:rFonts w:hint="eastAsia" w:ascii="仿宋_GB2312" w:hAnsi="仿宋_GB2312" w:eastAsia="仿宋_GB2312" w:cs="仿宋_GB2312"/>
          <w:color w:val="auto"/>
          <w:sz w:val="32"/>
          <w:szCs w:val="32"/>
        </w:rPr>
        <w:t>本着客观、公正、及时的原则，认真做好政府信息公开工作，让广大干部群众及时、准确、全面地掌握和了解上级和我</w:t>
      </w:r>
      <w:r>
        <w:rPr>
          <w:rFonts w:hint="eastAsia" w:ascii="仿宋_GB2312" w:hAnsi="仿宋_GB2312" w:eastAsia="仿宋_GB2312" w:cs="仿宋_GB2312"/>
          <w:color w:val="auto"/>
          <w:sz w:val="32"/>
          <w:szCs w:val="32"/>
          <w:lang w:eastAsia="zh-CN"/>
        </w:rPr>
        <w:t>旗</w:t>
      </w:r>
      <w:r>
        <w:rPr>
          <w:rFonts w:hint="eastAsia" w:ascii="仿宋_GB2312" w:hAnsi="仿宋_GB2312" w:eastAsia="仿宋_GB2312" w:cs="仿宋_GB2312"/>
          <w:color w:val="auto"/>
          <w:sz w:val="32"/>
          <w:szCs w:val="32"/>
        </w:rPr>
        <w:t>林</w:t>
      </w:r>
      <w:r>
        <w:rPr>
          <w:rFonts w:hint="eastAsia" w:ascii="仿宋_GB2312" w:hAnsi="仿宋_GB2312" w:eastAsia="仿宋_GB2312" w:cs="仿宋_GB2312"/>
          <w:color w:val="auto"/>
          <w:sz w:val="32"/>
          <w:szCs w:val="32"/>
          <w:lang w:eastAsia="zh-CN"/>
        </w:rPr>
        <w:t>草</w:t>
      </w:r>
      <w:r>
        <w:rPr>
          <w:rFonts w:hint="eastAsia" w:ascii="仿宋_GB2312" w:hAnsi="仿宋_GB2312" w:eastAsia="仿宋_GB2312" w:cs="仿宋_GB2312"/>
          <w:color w:val="auto"/>
          <w:sz w:val="32"/>
          <w:szCs w:val="32"/>
        </w:rPr>
        <w:t>工作的方针政策，了解我局的机构设置、办事流程和各阶段的工作重点，提高透明度，从而关心和支持林</w:t>
      </w:r>
      <w:r>
        <w:rPr>
          <w:rFonts w:hint="eastAsia" w:ascii="仿宋_GB2312" w:hAnsi="仿宋_GB2312" w:eastAsia="仿宋_GB2312" w:cs="仿宋_GB2312"/>
          <w:color w:val="auto"/>
          <w:sz w:val="32"/>
          <w:szCs w:val="32"/>
          <w:lang w:eastAsia="zh-CN"/>
        </w:rPr>
        <w:t>草</w:t>
      </w:r>
      <w:r>
        <w:rPr>
          <w:rFonts w:hint="eastAsia" w:ascii="仿宋_GB2312" w:hAnsi="仿宋_GB2312" w:eastAsia="仿宋_GB2312" w:cs="仿宋_GB2312"/>
          <w:color w:val="auto"/>
          <w:sz w:val="32"/>
          <w:szCs w:val="32"/>
        </w:rPr>
        <w:t>的发展。为加强对政府信息公开工作的统一领导和管理，我们成立了由局长任组长，副局长为副组长，各</w:t>
      </w:r>
      <w:r>
        <w:rPr>
          <w:rFonts w:hint="eastAsia" w:ascii="仿宋_GB2312" w:hAnsi="仿宋_GB2312" w:eastAsia="仿宋_GB2312" w:cs="仿宋_GB2312"/>
          <w:color w:val="auto"/>
          <w:sz w:val="32"/>
          <w:szCs w:val="32"/>
          <w:lang w:eastAsia="zh-CN"/>
        </w:rPr>
        <w:t>股</w:t>
      </w:r>
      <w:r>
        <w:rPr>
          <w:rFonts w:hint="eastAsia" w:ascii="仿宋_GB2312" w:hAnsi="仿宋_GB2312" w:eastAsia="仿宋_GB2312" w:cs="仿宋_GB2312"/>
          <w:color w:val="auto"/>
          <w:sz w:val="32"/>
          <w:szCs w:val="32"/>
        </w:rPr>
        <w:t>室</w:t>
      </w:r>
      <w:r>
        <w:rPr>
          <w:rFonts w:hint="eastAsia" w:ascii="仿宋_GB2312" w:hAnsi="仿宋_GB2312" w:eastAsia="仿宋_GB2312" w:cs="仿宋_GB2312"/>
          <w:color w:val="auto"/>
          <w:sz w:val="32"/>
          <w:szCs w:val="32"/>
          <w:lang w:eastAsia="zh-CN"/>
        </w:rPr>
        <w:t>、站所主要负责人</w:t>
      </w:r>
      <w:r>
        <w:rPr>
          <w:rFonts w:hint="eastAsia" w:ascii="仿宋_GB2312" w:hAnsi="仿宋_GB2312" w:eastAsia="仿宋_GB2312" w:cs="仿宋_GB2312"/>
          <w:color w:val="auto"/>
          <w:sz w:val="32"/>
          <w:szCs w:val="32"/>
        </w:rPr>
        <w:t>为成员的领导小组，同时对各部门的工作职责进行规范和明确。局办公室负责政府信息公开工作的具体操作。我们按照</w:t>
      </w:r>
      <w:r>
        <w:rPr>
          <w:rFonts w:hint="eastAsia" w:ascii="仿宋_GB2312" w:hAnsi="仿宋_GB2312" w:eastAsia="仿宋_GB2312" w:cs="仿宋_GB2312"/>
          <w:color w:val="auto"/>
          <w:sz w:val="32"/>
          <w:szCs w:val="32"/>
          <w:lang w:eastAsia="zh-CN"/>
        </w:rPr>
        <w:t>旗政府信息督查室</w:t>
      </w:r>
      <w:r>
        <w:rPr>
          <w:rFonts w:hint="eastAsia" w:ascii="仿宋_GB2312" w:hAnsi="仿宋_GB2312" w:eastAsia="仿宋_GB2312" w:cs="仿宋_GB2312"/>
          <w:color w:val="auto"/>
          <w:sz w:val="32"/>
          <w:szCs w:val="32"/>
        </w:rPr>
        <w:t>的具体部署，对我局需公开的政府林</w:t>
      </w:r>
      <w:r>
        <w:rPr>
          <w:rFonts w:hint="eastAsia" w:ascii="仿宋_GB2312" w:hAnsi="仿宋_GB2312" w:eastAsia="仿宋_GB2312" w:cs="仿宋_GB2312"/>
          <w:color w:val="auto"/>
          <w:sz w:val="32"/>
          <w:szCs w:val="32"/>
          <w:lang w:eastAsia="zh-CN"/>
        </w:rPr>
        <w:t>草</w:t>
      </w:r>
      <w:r>
        <w:rPr>
          <w:rFonts w:hint="eastAsia" w:ascii="仿宋_GB2312" w:hAnsi="仿宋_GB2312" w:eastAsia="仿宋_GB2312" w:cs="仿宋_GB2312"/>
          <w:color w:val="auto"/>
          <w:sz w:val="32"/>
          <w:szCs w:val="32"/>
        </w:rPr>
        <w:t>信息进行了公开，方便广大群众查阅和了解</w:t>
      </w:r>
      <w:r>
        <w:rPr>
          <w:rFonts w:hint="eastAsia" w:ascii="仿宋_GB2312" w:hAnsi="仿宋_GB2312" w:eastAsia="仿宋_GB2312" w:cs="仿宋_GB2312"/>
          <w:color w:val="auto"/>
          <w:sz w:val="32"/>
          <w:szCs w:val="32"/>
          <w:lang w:eastAsia="zh-CN"/>
        </w:rPr>
        <w:t>，</w:t>
      </w:r>
      <w:r>
        <w:rPr>
          <w:rFonts w:hint="eastAsia" w:ascii="仿宋_GB2312" w:hAnsi="仿宋_GB2312" w:eastAsia="仿宋_GB2312" w:cs="仿宋_GB2312"/>
          <w:color w:val="auto"/>
          <w:sz w:val="32"/>
          <w:szCs w:val="32"/>
        </w:rPr>
        <w:t>及时把国家的林</w:t>
      </w:r>
      <w:r>
        <w:rPr>
          <w:rFonts w:hint="eastAsia" w:ascii="仿宋_GB2312" w:hAnsi="仿宋_GB2312" w:eastAsia="仿宋_GB2312" w:cs="仿宋_GB2312"/>
          <w:color w:val="auto"/>
          <w:sz w:val="32"/>
          <w:szCs w:val="32"/>
          <w:lang w:eastAsia="zh-CN"/>
        </w:rPr>
        <w:t>草</w:t>
      </w:r>
      <w:r>
        <w:rPr>
          <w:rFonts w:hint="eastAsia" w:ascii="仿宋_GB2312" w:hAnsi="仿宋_GB2312" w:eastAsia="仿宋_GB2312" w:cs="仿宋_GB2312"/>
          <w:color w:val="auto"/>
          <w:sz w:val="32"/>
          <w:szCs w:val="32"/>
        </w:rPr>
        <w:t>政策、林政执法、</w:t>
      </w:r>
      <w:r>
        <w:rPr>
          <w:rFonts w:hint="eastAsia" w:ascii="仿宋_GB2312" w:hAnsi="仿宋_GB2312" w:eastAsia="仿宋_GB2312" w:cs="仿宋_GB2312"/>
          <w:color w:val="auto"/>
          <w:sz w:val="32"/>
          <w:szCs w:val="32"/>
          <w:lang w:eastAsia="zh-CN"/>
        </w:rPr>
        <w:t>草原执法、</w:t>
      </w:r>
      <w:r>
        <w:rPr>
          <w:rFonts w:hint="eastAsia" w:ascii="仿宋_GB2312" w:hAnsi="仿宋_GB2312" w:eastAsia="仿宋_GB2312" w:cs="仿宋_GB2312"/>
          <w:color w:val="auto"/>
          <w:sz w:val="32"/>
          <w:szCs w:val="32"/>
        </w:rPr>
        <w:t>行政审批、我局的便民利民措施、林</w:t>
      </w:r>
      <w:r>
        <w:rPr>
          <w:rFonts w:hint="eastAsia" w:ascii="仿宋_GB2312" w:hAnsi="仿宋_GB2312" w:eastAsia="仿宋_GB2312" w:cs="仿宋_GB2312"/>
          <w:color w:val="auto"/>
          <w:sz w:val="32"/>
          <w:szCs w:val="32"/>
          <w:lang w:eastAsia="zh-CN"/>
        </w:rPr>
        <w:t>草</w:t>
      </w:r>
      <w:r>
        <w:rPr>
          <w:rFonts w:hint="eastAsia" w:ascii="仿宋_GB2312" w:hAnsi="仿宋_GB2312" w:eastAsia="仿宋_GB2312" w:cs="仿宋_GB2312"/>
          <w:color w:val="auto"/>
          <w:sz w:val="32"/>
          <w:szCs w:val="32"/>
        </w:rPr>
        <w:t>发展方向、办事程序和</w:t>
      </w:r>
      <w:r>
        <w:rPr>
          <w:rFonts w:hint="eastAsia" w:ascii="仿宋_GB2312" w:hAnsi="仿宋_GB2312" w:eastAsia="仿宋_GB2312" w:cs="仿宋_GB2312"/>
          <w:color w:val="auto"/>
          <w:sz w:val="32"/>
          <w:szCs w:val="32"/>
          <w:lang w:eastAsia="zh-CN"/>
        </w:rPr>
        <w:t>群众</w:t>
      </w:r>
      <w:r>
        <w:rPr>
          <w:rFonts w:hint="eastAsia" w:ascii="仿宋_GB2312" w:hAnsi="仿宋_GB2312" w:eastAsia="仿宋_GB2312" w:cs="仿宋_GB2312"/>
          <w:color w:val="auto"/>
          <w:sz w:val="32"/>
          <w:szCs w:val="32"/>
        </w:rPr>
        <w:t>急需掌握的林</w:t>
      </w:r>
      <w:r>
        <w:rPr>
          <w:rFonts w:hint="eastAsia" w:ascii="仿宋_GB2312" w:hAnsi="仿宋_GB2312" w:eastAsia="仿宋_GB2312" w:cs="仿宋_GB2312"/>
          <w:color w:val="auto"/>
          <w:sz w:val="32"/>
          <w:szCs w:val="32"/>
          <w:lang w:eastAsia="zh-CN"/>
        </w:rPr>
        <w:t>草</w:t>
      </w:r>
      <w:r>
        <w:rPr>
          <w:rFonts w:hint="eastAsia" w:ascii="仿宋_GB2312" w:hAnsi="仿宋_GB2312" w:eastAsia="仿宋_GB2312" w:cs="仿宋_GB2312"/>
          <w:color w:val="auto"/>
          <w:sz w:val="32"/>
          <w:szCs w:val="32"/>
        </w:rPr>
        <w:t>实用技术、病虫害防治方面知识等通过这个平台向社会公开，把信息公开和兴林富民、和谐林别是开展权力阳光运行工作以来，我局认真清理审核权力清单，梳理政策规定，把涉及到我局的权力目录、各项政策法规、办事流程等及时在政府信息公开网公开，把林</w:t>
      </w:r>
      <w:r>
        <w:rPr>
          <w:rFonts w:hint="eastAsia" w:ascii="仿宋_GB2312" w:hAnsi="仿宋_GB2312" w:eastAsia="仿宋_GB2312" w:cs="仿宋_GB2312"/>
          <w:color w:val="auto"/>
          <w:sz w:val="32"/>
          <w:szCs w:val="32"/>
          <w:lang w:eastAsia="zh-CN"/>
        </w:rPr>
        <w:t>草</w:t>
      </w:r>
      <w:r>
        <w:rPr>
          <w:rFonts w:hint="eastAsia" w:ascii="仿宋_GB2312" w:hAnsi="仿宋_GB2312" w:eastAsia="仿宋_GB2312" w:cs="仿宋_GB2312"/>
          <w:color w:val="auto"/>
          <w:sz w:val="32"/>
          <w:szCs w:val="32"/>
        </w:rPr>
        <w:t>局的权力、职责、办事程序向广大群众公开，方便群众查阅。同时将政务信息公开工作纳入年度工作计划，召开专门会议研究政府信息公开工作，切实解决各部门之间的信息公开协调、公开信息保密等问题，保证了我局信息公开工作渠道畅通、安全有序。</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firstLine="640" w:firstLineChars="200"/>
        <w:jc w:val="both"/>
        <w:textAlignment w:val="auto"/>
        <w:rPr>
          <w:rFonts w:hint="eastAsia" w:ascii="仿宋_GB2312" w:hAnsi="仿宋_GB2312" w:eastAsia="仿宋_GB2312" w:cs="仿宋_GB2312"/>
          <w:color w:val="000000"/>
          <w:sz w:val="32"/>
          <w:szCs w:val="32"/>
          <w:lang w:val="en-US" w:eastAsia="zh-CN"/>
        </w:rPr>
      </w:pPr>
      <w:r>
        <w:rPr>
          <w:rFonts w:hint="eastAsia" w:ascii="仿宋_GB2312" w:hAnsi="仿宋_GB2312" w:eastAsia="仿宋_GB2312" w:cs="仿宋_GB2312"/>
          <w:color w:val="000000"/>
          <w:sz w:val="32"/>
          <w:szCs w:val="32"/>
          <w:lang w:val="en-US" w:eastAsia="zh-CN"/>
        </w:rPr>
        <w:t>（一）2019年我局严格按照上级要求开展政府信息公开工作，主要涉及重点领域信息公开、工作信息公开、建议提案办理、“双随机、一公开”以及可公开现行文件；报送工作简报109篇，政务信息135篇，协助鄂温克旗电视台拍摄新闻20篇，并通过鄂温克旗林业和草原局微信公众平台发布。</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right="0" w:firstLine="640" w:firstLineChars="200"/>
        <w:jc w:val="both"/>
        <w:textAlignment w:val="auto"/>
        <w:rPr>
          <w:rFonts w:hint="eastAsia" w:ascii="仿宋_GB2312" w:hAnsi="仿宋_GB2312" w:eastAsia="仿宋_GB2312" w:cs="仿宋_GB2312"/>
          <w:color w:val="000000"/>
          <w:sz w:val="32"/>
          <w:szCs w:val="32"/>
          <w:lang w:val="en-US" w:eastAsia="zh-CN"/>
        </w:rPr>
      </w:pPr>
      <w:r>
        <w:rPr>
          <w:rFonts w:hint="eastAsia" w:ascii="仿宋_GB2312" w:hAnsi="仿宋_GB2312" w:eastAsia="仿宋_GB2312" w:cs="仿宋_GB2312"/>
          <w:color w:val="000000"/>
          <w:sz w:val="32"/>
          <w:szCs w:val="32"/>
          <w:lang w:val="en-US" w:eastAsia="zh-CN"/>
        </w:rPr>
        <w:drawing>
          <wp:inline distT="0" distB="0" distL="114300" distR="114300">
            <wp:extent cx="4817110" cy="2912745"/>
            <wp:effectExtent l="0" t="0" r="2540" b="1905"/>
            <wp:docPr id="3" name="图片 3" descr="简报登记表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简报登记表1"/>
                    <pic:cNvPicPr>
                      <a:picLocks noChangeAspect="1"/>
                    </pic:cNvPicPr>
                  </pic:nvPicPr>
                  <pic:blipFill>
                    <a:blip r:embed="rId4"/>
                    <a:stretch>
                      <a:fillRect/>
                    </a:stretch>
                  </pic:blipFill>
                  <pic:spPr>
                    <a:xfrm>
                      <a:off x="0" y="0"/>
                      <a:ext cx="4817110" cy="2912745"/>
                    </a:xfrm>
                    <a:prstGeom prst="rect">
                      <a:avLst/>
                    </a:prstGeom>
                  </pic:spPr>
                </pic:pic>
              </a:graphicData>
            </a:graphic>
          </wp:inline>
        </w:drawing>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right="0" w:firstLine="640" w:firstLineChars="200"/>
        <w:jc w:val="both"/>
        <w:textAlignment w:val="auto"/>
        <w:rPr>
          <w:rFonts w:hint="eastAsia" w:ascii="仿宋_GB2312" w:hAnsi="仿宋_GB2312" w:eastAsia="仿宋_GB2312" w:cs="仿宋_GB2312"/>
          <w:color w:val="000000"/>
          <w:sz w:val="32"/>
          <w:szCs w:val="32"/>
          <w:lang w:val="en-US" w:eastAsia="zh-CN"/>
        </w:rPr>
      </w:pPr>
      <w:r>
        <w:rPr>
          <w:rFonts w:hint="eastAsia" w:ascii="仿宋_GB2312" w:hAnsi="仿宋_GB2312" w:eastAsia="仿宋_GB2312" w:cs="仿宋_GB2312"/>
          <w:color w:val="000000"/>
          <w:sz w:val="32"/>
          <w:szCs w:val="32"/>
          <w:lang w:val="en-US" w:eastAsia="zh-CN"/>
        </w:rPr>
        <w:drawing>
          <wp:inline distT="0" distB="0" distL="114300" distR="114300">
            <wp:extent cx="4430395" cy="3322320"/>
            <wp:effectExtent l="0" t="0" r="8255" b="11430"/>
            <wp:docPr id="2" name="图片 2" descr="政务信息公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政务信息公开"/>
                    <pic:cNvPicPr>
                      <a:picLocks noChangeAspect="1"/>
                    </pic:cNvPicPr>
                  </pic:nvPicPr>
                  <pic:blipFill>
                    <a:blip r:embed="rId5"/>
                    <a:stretch>
                      <a:fillRect/>
                    </a:stretch>
                  </pic:blipFill>
                  <pic:spPr>
                    <a:xfrm>
                      <a:off x="0" y="0"/>
                      <a:ext cx="4430395" cy="3322320"/>
                    </a:xfrm>
                    <a:prstGeom prst="rect">
                      <a:avLst/>
                    </a:prstGeom>
                  </pic:spPr>
                </pic:pic>
              </a:graphicData>
            </a:graphic>
          </wp:inline>
        </w:drawing>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firstLine="640" w:firstLineChars="200"/>
        <w:jc w:val="both"/>
        <w:textAlignment w:val="auto"/>
        <w:rPr>
          <w:rFonts w:hint="eastAsia" w:ascii="仿宋_GB2312" w:hAnsi="仿宋_GB2312" w:eastAsia="仿宋_GB2312" w:cs="仿宋_GB2312"/>
          <w:color w:val="000000"/>
          <w:sz w:val="32"/>
          <w:szCs w:val="32"/>
          <w:lang w:val="en-US" w:eastAsia="zh-CN"/>
        </w:rPr>
      </w:pPr>
      <w:r>
        <w:rPr>
          <w:rFonts w:hint="eastAsia" w:ascii="仿宋_GB2312" w:hAnsi="仿宋_GB2312" w:eastAsia="仿宋_GB2312" w:cs="仿宋_GB2312"/>
          <w:color w:val="000000"/>
          <w:sz w:val="32"/>
          <w:szCs w:val="32"/>
          <w:lang w:val="en-US" w:eastAsia="zh-CN"/>
        </w:rPr>
        <w:t>（二）2019年在建议提案办理过程中广泛征求相关单位意见，针对提出的建议意见主动联系代表，积极提出应对措施及工作开展计划。通过呼伦贝尔市人大代表履职系统办理提案答复6件，其中包括呼伦贝尔市人大建议答复5件、呼伦贝尔市政协提案答复1件、鄂温克族自治旗人大建议6件、鄂温克族自治旗政协提案5件，答复率百分百，答复结果得到代表、委员的一致认可。</w:t>
      </w:r>
    </w:p>
    <w:p>
      <w:pPr>
        <w:pStyle w:val="2"/>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rightChars="0" w:firstLine="640" w:firstLineChars="200"/>
        <w:jc w:val="both"/>
        <w:textAlignment w:val="auto"/>
        <w:rPr>
          <w:rFonts w:hint="eastAsia" w:ascii="仿宋_GB2312" w:hAnsi="仿宋_GB2312" w:eastAsia="仿宋_GB2312" w:cs="仿宋_GB2312"/>
          <w:color w:val="000000"/>
          <w:sz w:val="32"/>
          <w:szCs w:val="32"/>
          <w:lang w:val="en-US" w:eastAsia="zh-CN"/>
        </w:rPr>
      </w:pPr>
      <w:r>
        <w:rPr>
          <w:rFonts w:hint="eastAsia" w:ascii="仿宋_GB2312" w:hAnsi="仿宋_GB2312" w:eastAsia="仿宋_GB2312" w:cs="仿宋_GB2312"/>
          <w:color w:val="000000"/>
          <w:sz w:val="32"/>
          <w:szCs w:val="32"/>
          <w:lang w:val="en-US" w:eastAsia="zh-CN"/>
        </w:rPr>
        <w:t>（三）全面实施推动“双随机、一公开”工作，通过信用呼伦贝尔双公示平台全方位及时录入并公开行政许可事项1项、行政处罚事项6项、加强了行政工作透明度，提高了监管的公正性。</w:t>
      </w:r>
    </w:p>
    <w:p>
      <w:pPr>
        <w:pStyle w:val="2"/>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rightChars="0" w:firstLine="640" w:firstLineChars="200"/>
        <w:jc w:val="both"/>
        <w:textAlignment w:val="auto"/>
        <w:rPr>
          <w:rFonts w:hint="eastAsia" w:ascii="仿宋_GB2312" w:hAnsi="仿宋_GB2312" w:eastAsia="仿宋_GB2312" w:cs="仿宋_GB2312"/>
          <w:color w:val="000000"/>
          <w:sz w:val="32"/>
          <w:szCs w:val="32"/>
          <w:lang w:val="en-US" w:eastAsia="zh-CN"/>
        </w:rPr>
      </w:pPr>
      <w:r>
        <w:rPr>
          <w:rFonts w:hint="eastAsia" w:ascii="仿宋_GB2312" w:hAnsi="仿宋_GB2312" w:eastAsia="仿宋_GB2312" w:cs="仿宋_GB2312"/>
          <w:color w:val="000000"/>
          <w:sz w:val="32"/>
          <w:szCs w:val="32"/>
          <w:lang w:val="en-US" w:eastAsia="zh-CN"/>
        </w:rPr>
        <w:t>（四）2019年，行政权力运行信息公开，上报至旗法制办，对我局权责清单进行合法性审查。上报本部门行政许可1项、行政确认0项、行政给付0项、行政奖励0项、行政处罚17项、行政强制措施0项、行政强制执行0项、行政监督检查2项、行政征收0项、其他权力0项，共20项行政权力。</w:t>
      </w:r>
    </w:p>
    <w:p>
      <w:pPr>
        <w:pStyle w:val="2"/>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rightChars="0" w:firstLine="640" w:firstLineChars="200"/>
        <w:jc w:val="both"/>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000000"/>
          <w:sz w:val="32"/>
          <w:szCs w:val="32"/>
          <w:lang w:val="en-US" w:eastAsia="zh-CN"/>
        </w:rPr>
        <w:t>（五）</w:t>
      </w:r>
      <w:r>
        <w:rPr>
          <w:rFonts w:hint="eastAsia" w:ascii="仿宋_GB2312" w:hAnsi="仿宋_GB2312" w:eastAsia="仿宋_GB2312" w:cs="仿宋_GB2312"/>
          <w:color w:val="auto"/>
          <w:sz w:val="32"/>
          <w:szCs w:val="32"/>
        </w:rPr>
        <w:t>201</w:t>
      </w:r>
      <w:r>
        <w:rPr>
          <w:rFonts w:hint="eastAsia" w:ascii="仿宋_GB2312" w:hAnsi="仿宋_GB2312" w:eastAsia="仿宋_GB2312" w:cs="仿宋_GB2312"/>
          <w:color w:val="auto"/>
          <w:sz w:val="32"/>
          <w:szCs w:val="32"/>
          <w:lang w:val="en-US" w:eastAsia="zh-CN"/>
        </w:rPr>
        <w:t>9</w:t>
      </w:r>
      <w:r>
        <w:rPr>
          <w:rFonts w:hint="eastAsia" w:ascii="仿宋_GB2312" w:hAnsi="仿宋_GB2312" w:eastAsia="仿宋_GB2312" w:cs="仿宋_GB2312"/>
          <w:color w:val="auto"/>
          <w:sz w:val="32"/>
          <w:szCs w:val="32"/>
        </w:rPr>
        <w:t>年度</w:t>
      </w:r>
      <w:r>
        <w:rPr>
          <w:rFonts w:hint="eastAsia" w:ascii="仿宋_GB2312" w:hAnsi="仿宋_GB2312" w:eastAsia="仿宋_GB2312" w:cs="仿宋_GB2312"/>
          <w:color w:val="auto"/>
          <w:sz w:val="32"/>
          <w:szCs w:val="32"/>
          <w:lang w:eastAsia="zh-CN"/>
        </w:rPr>
        <w:t>，</w:t>
      </w:r>
      <w:r>
        <w:rPr>
          <w:rFonts w:hint="eastAsia" w:ascii="仿宋_GB2312" w:hAnsi="仿宋_GB2312" w:eastAsia="仿宋_GB2312" w:cs="仿宋_GB2312"/>
          <w:b w:val="0"/>
          <w:bCs w:val="0"/>
          <w:color w:val="auto"/>
          <w:sz w:val="32"/>
          <w:szCs w:val="32"/>
        </w:rPr>
        <w:t>政府信息公开申请的办理情况</w:t>
      </w:r>
      <w:r>
        <w:rPr>
          <w:rFonts w:hint="eastAsia" w:ascii="仿宋_GB2312" w:hAnsi="仿宋_GB2312" w:eastAsia="仿宋_GB2312" w:cs="仿宋_GB2312"/>
          <w:b w:val="0"/>
          <w:i w:val="0"/>
          <w:caps w:val="0"/>
          <w:color w:val="555555"/>
          <w:spacing w:val="0"/>
          <w:sz w:val="32"/>
          <w:szCs w:val="32"/>
          <w:shd w:val="clear" w:color="auto" w:fill="FFFFFF"/>
        </w:rPr>
        <w:t>，</w:t>
      </w:r>
      <w:r>
        <w:rPr>
          <w:rFonts w:hint="eastAsia" w:ascii="仿宋_GB2312" w:hAnsi="仿宋_GB2312" w:eastAsia="仿宋_GB2312" w:cs="仿宋_GB2312"/>
          <w:color w:val="auto"/>
          <w:sz w:val="32"/>
          <w:szCs w:val="32"/>
        </w:rPr>
        <w:t>收到</w:t>
      </w:r>
      <w:r>
        <w:rPr>
          <w:rFonts w:hint="eastAsia" w:ascii="仿宋_GB2312" w:hAnsi="仿宋_GB2312" w:eastAsia="仿宋_GB2312" w:cs="仿宋_GB2312"/>
          <w:color w:val="auto"/>
          <w:sz w:val="32"/>
          <w:szCs w:val="32"/>
          <w:lang w:val="en-US" w:eastAsia="zh-CN"/>
        </w:rPr>
        <w:t>6件</w:t>
      </w:r>
      <w:r>
        <w:rPr>
          <w:rFonts w:hint="eastAsia" w:ascii="仿宋_GB2312" w:hAnsi="仿宋_GB2312" w:eastAsia="仿宋_GB2312" w:cs="仿宋_GB2312"/>
          <w:color w:val="auto"/>
          <w:sz w:val="32"/>
          <w:szCs w:val="32"/>
          <w:lang w:eastAsia="zh-CN"/>
        </w:rPr>
        <w:t>单位和</w:t>
      </w:r>
      <w:r>
        <w:rPr>
          <w:rFonts w:hint="eastAsia" w:ascii="仿宋_GB2312" w:hAnsi="仿宋_GB2312" w:eastAsia="仿宋_GB2312" w:cs="仿宋_GB2312"/>
          <w:color w:val="auto"/>
          <w:sz w:val="32"/>
          <w:szCs w:val="32"/>
        </w:rPr>
        <w:t>个人向</w:t>
      </w:r>
      <w:r>
        <w:rPr>
          <w:rFonts w:hint="eastAsia" w:ascii="仿宋_GB2312" w:hAnsi="仿宋_GB2312" w:eastAsia="仿宋_GB2312" w:cs="仿宋_GB2312"/>
          <w:color w:val="auto"/>
          <w:sz w:val="32"/>
          <w:szCs w:val="32"/>
          <w:lang w:eastAsia="zh-CN"/>
        </w:rPr>
        <w:t>旗</w:t>
      </w:r>
      <w:r>
        <w:rPr>
          <w:rFonts w:hint="eastAsia" w:ascii="仿宋_GB2312" w:hAnsi="仿宋_GB2312" w:eastAsia="仿宋_GB2312" w:cs="仿宋_GB2312"/>
          <w:color w:val="auto"/>
          <w:sz w:val="32"/>
          <w:szCs w:val="32"/>
        </w:rPr>
        <w:t>林</w:t>
      </w:r>
      <w:r>
        <w:rPr>
          <w:rFonts w:hint="eastAsia" w:ascii="仿宋_GB2312" w:hAnsi="仿宋_GB2312" w:eastAsia="仿宋_GB2312" w:cs="仿宋_GB2312"/>
          <w:color w:val="auto"/>
          <w:sz w:val="32"/>
          <w:szCs w:val="32"/>
          <w:lang w:eastAsia="zh-CN"/>
        </w:rPr>
        <w:t>草</w:t>
      </w:r>
      <w:r>
        <w:rPr>
          <w:rFonts w:hint="eastAsia" w:ascii="仿宋_GB2312" w:hAnsi="仿宋_GB2312" w:eastAsia="仿宋_GB2312" w:cs="仿宋_GB2312"/>
          <w:color w:val="auto"/>
          <w:sz w:val="32"/>
          <w:szCs w:val="32"/>
        </w:rPr>
        <w:t>局提出林</w:t>
      </w:r>
      <w:r>
        <w:rPr>
          <w:rFonts w:hint="eastAsia" w:ascii="仿宋_GB2312" w:hAnsi="仿宋_GB2312" w:eastAsia="仿宋_GB2312" w:cs="仿宋_GB2312"/>
          <w:color w:val="auto"/>
          <w:sz w:val="32"/>
          <w:szCs w:val="32"/>
          <w:lang w:eastAsia="zh-CN"/>
        </w:rPr>
        <w:t>草</w:t>
      </w:r>
      <w:r>
        <w:rPr>
          <w:rFonts w:hint="eastAsia" w:ascii="仿宋_GB2312" w:hAnsi="仿宋_GB2312" w:eastAsia="仿宋_GB2312" w:cs="仿宋_GB2312"/>
          <w:color w:val="auto"/>
          <w:sz w:val="32"/>
          <w:szCs w:val="32"/>
        </w:rPr>
        <w:t>方面政府信息公开的申请。均按规定时限办理答复</w:t>
      </w:r>
      <w:r>
        <w:rPr>
          <w:rFonts w:hint="eastAsia" w:ascii="仿宋_GB2312" w:hAnsi="仿宋_GB2312" w:eastAsia="仿宋_GB2312" w:cs="仿宋_GB2312"/>
          <w:color w:val="auto"/>
          <w:sz w:val="32"/>
          <w:szCs w:val="32"/>
          <w:lang w:eastAsia="zh-CN"/>
        </w:rPr>
        <w:t>，并向申请人公开。</w:t>
      </w:r>
    </w:p>
    <w:p>
      <w:pPr>
        <w:pStyle w:val="2"/>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right="0" w:rightChars="0" w:firstLine="640" w:firstLineChars="200"/>
        <w:jc w:val="both"/>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lang w:eastAsia="zh-CN"/>
        </w:rPr>
        <w:drawing>
          <wp:inline distT="0" distB="0" distL="114300" distR="114300">
            <wp:extent cx="4647565" cy="3329305"/>
            <wp:effectExtent l="0" t="0" r="635" b="4445"/>
            <wp:docPr id="4" name="图片 4" descr="依申请公开目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依申请公开目录"/>
                    <pic:cNvPicPr>
                      <a:picLocks noChangeAspect="1"/>
                    </pic:cNvPicPr>
                  </pic:nvPicPr>
                  <pic:blipFill>
                    <a:blip r:embed="rId6"/>
                    <a:stretch>
                      <a:fillRect/>
                    </a:stretch>
                  </pic:blipFill>
                  <pic:spPr>
                    <a:xfrm>
                      <a:off x="0" y="0"/>
                      <a:ext cx="4647565" cy="3329305"/>
                    </a:xfrm>
                    <a:prstGeom prst="rect">
                      <a:avLst/>
                    </a:prstGeom>
                  </pic:spPr>
                </pic:pic>
              </a:graphicData>
            </a:graphic>
          </wp:inline>
        </w:drawing>
      </w:r>
    </w:p>
    <w:p>
      <w:pPr>
        <w:pStyle w:val="2"/>
        <w:keepNext w:val="0"/>
        <w:keepLines w:val="0"/>
        <w:pageBreakBefore w:val="0"/>
        <w:widowControl/>
        <w:numPr>
          <w:ilvl w:val="0"/>
          <w:numId w:val="2"/>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rightChars="0"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rPr>
        <w:t>今年我局加强对业务知识方面的指导与培训，加强与</w:t>
      </w:r>
      <w:r>
        <w:rPr>
          <w:rFonts w:hint="eastAsia" w:ascii="仿宋_GB2312" w:hAnsi="仿宋_GB2312" w:eastAsia="仿宋_GB2312" w:cs="仿宋_GB2312"/>
          <w:color w:val="auto"/>
          <w:sz w:val="32"/>
          <w:szCs w:val="32"/>
          <w:lang w:eastAsia="zh-CN"/>
        </w:rPr>
        <w:t>旗</w:t>
      </w:r>
      <w:r>
        <w:rPr>
          <w:rFonts w:hint="eastAsia" w:ascii="仿宋_GB2312" w:hAnsi="仿宋_GB2312" w:eastAsia="仿宋_GB2312" w:cs="仿宋_GB2312"/>
          <w:color w:val="auto"/>
          <w:sz w:val="32"/>
          <w:szCs w:val="32"/>
        </w:rPr>
        <w:t>委、政府两办及上级部门的沟通协调，参加组织的各类业务知识培训，提高信息公开意识和保密意识，促进全局政府信息公开工作的有序推进。</w:t>
      </w:r>
      <w:r>
        <w:rPr>
          <w:rFonts w:hint="eastAsia" w:ascii="仿宋_GB2312" w:hAnsi="仿宋_GB2312" w:eastAsia="仿宋_GB2312" w:cs="仿宋_GB2312"/>
          <w:color w:val="auto"/>
          <w:sz w:val="32"/>
          <w:szCs w:val="32"/>
          <w:lang w:val="en-US" w:eastAsia="zh-CN"/>
        </w:rPr>
        <w:t>2019年，参加旗政务局组织政务培训1次，组织本单位学习培训2次。</w:t>
      </w:r>
    </w:p>
    <w:p>
      <w:pPr>
        <w:pStyle w:val="2"/>
        <w:keepNext w:val="0"/>
        <w:keepLines w:val="0"/>
        <w:pageBreakBefore w:val="0"/>
        <w:widowControl/>
        <w:numPr>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Chars="200" w:right="0" w:rightChars="0"/>
        <w:jc w:val="both"/>
        <w:textAlignment w:val="auto"/>
        <w:rPr>
          <w:rFonts w:hint="eastAsia" w:ascii="仿宋_GB2312" w:hAnsi="仿宋_GB2312" w:eastAsia="仿宋_GB2312" w:cs="仿宋_GB2312"/>
          <w:color w:val="auto"/>
          <w:sz w:val="32"/>
          <w:szCs w:val="32"/>
          <w:lang w:val="en-US" w:eastAsia="zh-CN"/>
        </w:rPr>
      </w:pP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firstLine="640" w:firstLineChars="200"/>
        <w:jc w:val="both"/>
        <w:textAlignment w:val="auto"/>
        <w:rPr>
          <w:rFonts w:hint="eastAsia" w:ascii="仿宋_GB2312" w:hAnsi="仿宋_GB2312" w:eastAsia="仿宋_GB2312" w:cs="仿宋_GB2312"/>
          <w:color w:val="auto"/>
          <w:sz w:val="32"/>
          <w:szCs w:val="32"/>
          <w:lang w:eastAsia="zh-CN"/>
        </w:rPr>
      </w:pP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firstLine="640" w:firstLineChars="200"/>
        <w:jc w:val="both"/>
        <w:textAlignment w:val="auto"/>
        <w:rPr>
          <w:rFonts w:hint="eastAsia" w:ascii="仿宋_GB2312" w:hAnsi="仿宋_GB2312" w:eastAsia="仿宋_GB2312" w:cs="仿宋_GB2312"/>
          <w:color w:val="auto"/>
          <w:sz w:val="32"/>
          <w:szCs w:val="32"/>
          <w:lang w:eastAsia="zh-CN"/>
        </w:rPr>
      </w:pP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firstLine="640" w:firstLineChars="200"/>
        <w:jc w:val="both"/>
        <w:textAlignment w:val="auto"/>
        <w:rPr>
          <w:rFonts w:hint="eastAsia" w:ascii="仿宋_GB2312" w:hAnsi="仿宋_GB2312" w:eastAsia="仿宋_GB2312" w:cs="仿宋_GB2312"/>
          <w:color w:val="auto"/>
          <w:sz w:val="32"/>
          <w:szCs w:val="32"/>
          <w:lang w:eastAsia="zh-CN"/>
        </w:rPr>
      </w:pP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firstLine="640" w:firstLineChars="200"/>
        <w:jc w:val="both"/>
        <w:textAlignment w:val="auto"/>
        <w:rPr>
          <w:rFonts w:hint="eastAsia" w:ascii="仿宋_GB2312" w:hAnsi="仿宋_GB2312" w:eastAsia="仿宋_GB2312" w:cs="仿宋_GB2312"/>
          <w:color w:val="auto"/>
          <w:sz w:val="32"/>
          <w:szCs w:val="32"/>
          <w:lang w:eastAsia="zh-CN"/>
        </w:rPr>
      </w:pP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firstLine="640" w:firstLineChars="200"/>
        <w:jc w:val="both"/>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lang w:val="en-US" w:eastAsia="zh-CN"/>
        </w:rPr>
        <w:drawing>
          <wp:anchor distT="0" distB="0" distL="114300" distR="114300" simplePos="0" relativeHeight="251658240" behindDoc="0" locked="0" layoutInCell="1" allowOverlap="1">
            <wp:simplePos x="0" y="0"/>
            <wp:positionH relativeFrom="column">
              <wp:posOffset>3030220</wp:posOffset>
            </wp:positionH>
            <wp:positionV relativeFrom="paragraph">
              <wp:posOffset>55245</wp:posOffset>
            </wp:positionV>
            <wp:extent cx="2502535" cy="3604260"/>
            <wp:effectExtent l="0" t="0" r="12065" b="15240"/>
            <wp:wrapNone/>
            <wp:docPr id="6" name="图片 6" descr="会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会议"/>
                    <pic:cNvPicPr>
                      <a:picLocks noChangeAspect="1"/>
                    </pic:cNvPicPr>
                  </pic:nvPicPr>
                  <pic:blipFill>
                    <a:blip r:embed="rId7"/>
                    <a:stretch>
                      <a:fillRect/>
                    </a:stretch>
                  </pic:blipFill>
                  <pic:spPr>
                    <a:xfrm>
                      <a:off x="0" y="0"/>
                      <a:ext cx="2502535" cy="3604260"/>
                    </a:xfrm>
                    <a:prstGeom prst="rect">
                      <a:avLst/>
                    </a:prstGeom>
                  </pic:spPr>
                </pic:pic>
              </a:graphicData>
            </a:graphic>
          </wp:anchor>
        </w:drawing>
      </w:r>
      <w:r>
        <w:rPr>
          <w:rFonts w:hint="eastAsia" w:ascii="仿宋_GB2312" w:hAnsi="仿宋_GB2312" w:eastAsia="仿宋_GB2312" w:cs="仿宋_GB2312"/>
          <w:color w:val="auto"/>
          <w:sz w:val="32"/>
          <w:szCs w:val="32"/>
          <w:lang w:val="en-US" w:eastAsia="zh-CN"/>
        </w:rPr>
        <w:drawing>
          <wp:anchor distT="0" distB="0" distL="114300" distR="114300" simplePos="0" relativeHeight="251659264" behindDoc="0" locked="0" layoutInCell="1" allowOverlap="1">
            <wp:simplePos x="0" y="0"/>
            <wp:positionH relativeFrom="column">
              <wp:posOffset>-19685</wp:posOffset>
            </wp:positionH>
            <wp:positionV relativeFrom="paragraph">
              <wp:posOffset>82550</wp:posOffset>
            </wp:positionV>
            <wp:extent cx="2531745" cy="3596640"/>
            <wp:effectExtent l="0" t="0" r="1905" b="3810"/>
            <wp:wrapNone/>
            <wp:docPr id="5" name="图片 5" descr="简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简报"/>
                    <pic:cNvPicPr>
                      <a:picLocks noChangeAspect="1"/>
                    </pic:cNvPicPr>
                  </pic:nvPicPr>
                  <pic:blipFill>
                    <a:blip r:embed="rId8"/>
                    <a:stretch>
                      <a:fillRect/>
                    </a:stretch>
                  </pic:blipFill>
                  <pic:spPr>
                    <a:xfrm>
                      <a:off x="0" y="0"/>
                      <a:ext cx="2531745" cy="3596640"/>
                    </a:xfrm>
                    <a:prstGeom prst="rect">
                      <a:avLst/>
                    </a:prstGeom>
                  </pic:spPr>
                </pic:pic>
              </a:graphicData>
            </a:graphic>
          </wp:anchor>
        </w:drawing>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firstLine="640" w:firstLineChars="200"/>
        <w:jc w:val="both"/>
        <w:textAlignment w:val="auto"/>
        <w:rPr>
          <w:rFonts w:hint="eastAsia" w:ascii="仿宋_GB2312" w:hAnsi="仿宋_GB2312" w:eastAsia="仿宋_GB2312" w:cs="仿宋_GB2312"/>
          <w:color w:val="auto"/>
          <w:sz w:val="32"/>
          <w:szCs w:val="32"/>
          <w:lang w:eastAsia="zh-CN"/>
        </w:rPr>
      </w:pP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firstLine="640" w:firstLineChars="200"/>
        <w:jc w:val="both"/>
        <w:textAlignment w:val="auto"/>
        <w:rPr>
          <w:rFonts w:hint="eastAsia" w:ascii="仿宋_GB2312" w:hAnsi="仿宋_GB2312" w:eastAsia="仿宋_GB2312" w:cs="仿宋_GB2312"/>
          <w:color w:val="auto"/>
          <w:sz w:val="32"/>
          <w:szCs w:val="32"/>
          <w:lang w:eastAsia="zh-CN"/>
        </w:rPr>
      </w:pP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firstLine="640" w:firstLineChars="200"/>
        <w:jc w:val="both"/>
        <w:textAlignment w:val="auto"/>
        <w:rPr>
          <w:rFonts w:hint="eastAsia" w:ascii="仿宋_GB2312" w:hAnsi="仿宋_GB2312" w:eastAsia="仿宋_GB2312" w:cs="仿宋_GB2312"/>
          <w:color w:val="auto"/>
          <w:sz w:val="32"/>
          <w:szCs w:val="32"/>
          <w:lang w:eastAsia="zh-CN"/>
        </w:rPr>
      </w:pP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firstLine="640" w:firstLineChars="200"/>
        <w:jc w:val="both"/>
        <w:textAlignment w:val="auto"/>
        <w:rPr>
          <w:rFonts w:hint="eastAsia" w:ascii="仿宋_GB2312" w:hAnsi="仿宋_GB2312" w:eastAsia="仿宋_GB2312" w:cs="仿宋_GB2312"/>
          <w:color w:val="auto"/>
          <w:sz w:val="32"/>
          <w:szCs w:val="32"/>
          <w:lang w:eastAsia="zh-CN"/>
        </w:rPr>
      </w:pP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firstLine="640" w:firstLineChars="200"/>
        <w:jc w:val="both"/>
        <w:textAlignment w:val="auto"/>
        <w:rPr>
          <w:rFonts w:hint="eastAsia" w:ascii="仿宋_GB2312" w:hAnsi="仿宋_GB2312" w:eastAsia="仿宋_GB2312" w:cs="仿宋_GB2312"/>
          <w:color w:val="auto"/>
          <w:sz w:val="32"/>
          <w:szCs w:val="32"/>
          <w:lang w:eastAsia="zh-CN"/>
        </w:rPr>
      </w:pP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firstLine="640" w:firstLineChars="200"/>
        <w:jc w:val="both"/>
        <w:textAlignment w:val="auto"/>
        <w:rPr>
          <w:rFonts w:hint="eastAsia" w:ascii="仿宋_GB2312" w:hAnsi="仿宋_GB2312" w:eastAsia="仿宋_GB2312" w:cs="仿宋_GB2312"/>
          <w:color w:val="auto"/>
          <w:sz w:val="32"/>
          <w:szCs w:val="32"/>
          <w:lang w:eastAsia="zh-CN"/>
        </w:rPr>
      </w:pP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firstLine="640" w:firstLineChars="200"/>
        <w:jc w:val="both"/>
        <w:textAlignment w:val="auto"/>
        <w:rPr>
          <w:rFonts w:hint="eastAsia" w:ascii="仿宋_GB2312" w:hAnsi="仿宋_GB2312" w:eastAsia="仿宋_GB2312" w:cs="仿宋_GB2312"/>
          <w:color w:val="auto"/>
          <w:sz w:val="32"/>
          <w:szCs w:val="32"/>
          <w:lang w:eastAsia="zh-CN"/>
        </w:rPr>
      </w:pP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firstLine="640" w:firstLineChars="200"/>
        <w:jc w:val="both"/>
        <w:textAlignment w:val="auto"/>
        <w:rPr>
          <w:rFonts w:hint="eastAsia" w:ascii="仿宋_GB2312" w:hAnsi="仿宋_GB2312" w:eastAsia="仿宋_GB2312" w:cs="仿宋_GB2312"/>
          <w:color w:val="auto"/>
          <w:sz w:val="32"/>
          <w:szCs w:val="32"/>
          <w:lang w:eastAsia="zh-CN"/>
        </w:rPr>
      </w:pP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firstLine="640" w:firstLineChars="200"/>
        <w:jc w:val="both"/>
        <w:textAlignment w:val="auto"/>
        <w:rPr>
          <w:rFonts w:hint="eastAsia" w:ascii="仿宋_GB2312" w:hAnsi="仿宋_GB2312" w:eastAsia="仿宋_GB2312" w:cs="仿宋_GB2312"/>
          <w:color w:val="auto"/>
          <w:sz w:val="32"/>
          <w:szCs w:val="32"/>
          <w:lang w:eastAsia="zh-CN"/>
        </w:rPr>
      </w:pP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firstLine="640" w:firstLineChars="200"/>
        <w:jc w:val="both"/>
        <w:textAlignment w:val="auto"/>
        <w:rPr>
          <w:rFonts w:hint="eastAsia" w:ascii="仿宋_GB2312" w:hAnsi="仿宋_GB2312" w:eastAsia="仿宋_GB2312" w:cs="仿宋_GB2312"/>
          <w:color w:val="000000"/>
          <w:sz w:val="32"/>
          <w:szCs w:val="32"/>
          <w:lang w:val="en-US" w:eastAsia="zh-CN"/>
        </w:rPr>
      </w:pPr>
      <w:bookmarkStart w:id="0" w:name="_GoBack"/>
      <w:bookmarkEnd w:id="0"/>
      <w:r>
        <w:rPr>
          <w:rFonts w:hint="eastAsia" w:ascii="仿宋_GB2312" w:hAnsi="仿宋_GB2312" w:eastAsia="仿宋_GB2312" w:cs="仿宋_GB2312"/>
          <w:color w:val="auto"/>
          <w:sz w:val="32"/>
          <w:szCs w:val="32"/>
          <w:lang w:eastAsia="zh-CN"/>
        </w:rPr>
        <w:t>（七）</w:t>
      </w:r>
      <w:r>
        <w:rPr>
          <w:rFonts w:hint="eastAsia" w:ascii="仿宋_GB2312" w:hAnsi="仿宋_GB2312" w:eastAsia="仿宋_GB2312" w:cs="仿宋_GB2312"/>
          <w:color w:val="auto"/>
          <w:sz w:val="32"/>
          <w:szCs w:val="32"/>
        </w:rPr>
        <w:t>201</w:t>
      </w:r>
      <w:r>
        <w:rPr>
          <w:rFonts w:hint="eastAsia" w:ascii="仿宋_GB2312" w:hAnsi="仿宋_GB2312" w:eastAsia="仿宋_GB2312" w:cs="仿宋_GB2312"/>
          <w:color w:val="auto"/>
          <w:sz w:val="32"/>
          <w:szCs w:val="32"/>
          <w:lang w:val="en-US" w:eastAsia="zh-CN"/>
        </w:rPr>
        <w:t>9</w:t>
      </w:r>
      <w:r>
        <w:rPr>
          <w:rFonts w:hint="eastAsia" w:ascii="仿宋_GB2312" w:hAnsi="仿宋_GB2312" w:eastAsia="仿宋_GB2312" w:cs="仿宋_GB2312"/>
          <w:color w:val="auto"/>
          <w:sz w:val="32"/>
          <w:szCs w:val="32"/>
        </w:rPr>
        <w:t>年，</w:t>
      </w:r>
      <w:r>
        <w:rPr>
          <w:rFonts w:hint="eastAsia" w:ascii="仿宋_GB2312" w:hAnsi="仿宋_GB2312" w:eastAsia="仿宋_GB2312" w:cs="仿宋_GB2312"/>
          <w:b w:val="0"/>
          <w:bCs w:val="0"/>
          <w:color w:val="auto"/>
          <w:sz w:val="32"/>
          <w:szCs w:val="32"/>
        </w:rPr>
        <w:t>政府信息公开保密审查及监督检查</w:t>
      </w:r>
      <w:r>
        <w:rPr>
          <w:rFonts w:hint="eastAsia" w:ascii="仿宋_GB2312" w:hAnsi="仿宋_GB2312" w:eastAsia="仿宋_GB2312" w:cs="仿宋_GB2312"/>
          <w:b w:val="0"/>
          <w:bCs w:val="0"/>
          <w:color w:val="auto"/>
          <w:sz w:val="32"/>
          <w:szCs w:val="32"/>
          <w:lang w:eastAsia="zh-CN"/>
        </w:rPr>
        <w:t>，</w:t>
      </w:r>
      <w:r>
        <w:rPr>
          <w:rFonts w:hint="eastAsia" w:ascii="仿宋_GB2312" w:hAnsi="仿宋_GB2312" w:eastAsia="仿宋_GB2312" w:cs="仿宋_GB2312"/>
          <w:color w:val="auto"/>
          <w:sz w:val="32"/>
          <w:szCs w:val="32"/>
          <w:lang w:eastAsia="zh-CN"/>
        </w:rPr>
        <w:t>旗</w:t>
      </w:r>
      <w:r>
        <w:rPr>
          <w:rFonts w:hint="eastAsia" w:ascii="仿宋_GB2312" w:hAnsi="仿宋_GB2312" w:eastAsia="仿宋_GB2312" w:cs="仿宋_GB2312"/>
          <w:color w:val="auto"/>
          <w:sz w:val="32"/>
          <w:szCs w:val="32"/>
        </w:rPr>
        <w:t>林业局重点做好了政务公开流程的确立和完善工作，对政务公开工作的信息收集、申请报告、公开清单、审批上传等工作执行了详细的流程和制度，所有公开的信息，必须先由具体操作人员收集，经相关科室把关后，汇总报主要领导，经主要领导签字同意后，由操作人员负责上传。</w:t>
      </w:r>
      <w:r>
        <w:rPr>
          <w:rFonts w:hint="eastAsia" w:ascii="仿宋_GB2312" w:hAnsi="仿宋_GB2312" w:eastAsia="仿宋_GB2312" w:cs="仿宋_GB2312"/>
          <w:color w:val="auto"/>
          <w:sz w:val="32"/>
          <w:szCs w:val="32"/>
          <w:lang w:eastAsia="zh-CN"/>
        </w:rPr>
        <w:t>旗</w:t>
      </w:r>
      <w:r>
        <w:rPr>
          <w:rFonts w:hint="eastAsia" w:ascii="仿宋_GB2312" w:hAnsi="仿宋_GB2312" w:eastAsia="仿宋_GB2312" w:cs="仿宋_GB2312"/>
          <w:color w:val="auto"/>
          <w:sz w:val="32"/>
          <w:szCs w:val="32"/>
        </w:rPr>
        <w:t>林</w:t>
      </w:r>
      <w:r>
        <w:rPr>
          <w:rFonts w:hint="eastAsia" w:ascii="仿宋_GB2312" w:hAnsi="仿宋_GB2312" w:eastAsia="仿宋_GB2312" w:cs="仿宋_GB2312"/>
          <w:color w:val="auto"/>
          <w:sz w:val="32"/>
          <w:szCs w:val="32"/>
          <w:lang w:eastAsia="zh-CN"/>
        </w:rPr>
        <w:t>草</w:t>
      </w:r>
      <w:r>
        <w:rPr>
          <w:rFonts w:hint="eastAsia" w:ascii="仿宋_GB2312" w:hAnsi="仿宋_GB2312" w:eastAsia="仿宋_GB2312" w:cs="仿宋_GB2312"/>
          <w:color w:val="auto"/>
          <w:sz w:val="32"/>
          <w:szCs w:val="32"/>
        </w:rPr>
        <w:t>局所有信息、报告，只要不涉密，能公开的尽量公开，对于群众关心关注的热点信息，更是坚持及时公开、多途径公开，确保“涉密信息不上网，上网信息不涉密”。</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1280" w:firstLineChars="400"/>
        <w:jc w:val="both"/>
        <w:textAlignment w:val="auto"/>
        <w:rPr>
          <w:rFonts w:hint="default" w:ascii="仿宋_GB2312" w:hAnsi="仿宋_GB2312" w:eastAsia="仿宋_GB2312" w:cs="仿宋_GB2312"/>
          <w:color w:val="000000"/>
          <w:sz w:val="32"/>
          <w:szCs w:val="32"/>
          <w:lang w:val="en-US" w:eastAsia="zh-CN"/>
        </w:rPr>
      </w:pP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240" w:afterAutospacing="0" w:line="560" w:lineRule="exact"/>
        <w:ind w:left="0" w:right="0" w:firstLine="420"/>
        <w:jc w:val="both"/>
        <w:textAlignment w:val="auto"/>
        <w:rPr>
          <w:rFonts w:hint="eastAsia" w:ascii="仿宋_GB2312" w:hAnsi="仿宋_GB2312" w:eastAsia="仿宋_GB2312" w:cs="仿宋_GB2312"/>
          <w:color w:val="000000"/>
          <w:sz w:val="32"/>
          <w:szCs w:val="32"/>
        </w:rPr>
      </w:pPr>
      <w:r>
        <w:rPr>
          <w:rFonts w:hint="eastAsia" w:ascii="仿宋_GB2312" w:hAnsi="仿宋_GB2312" w:eastAsia="仿宋_GB2312" w:cs="仿宋_GB2312"/>
          <w:b/>
          <w:color w:val="000000"/>
          <w:sz w:val="32"/>
          <w:szCs w:val="32"/>
        </w:rPr>
        <w:t>二、主动公开政府信息情况</w:t>
      </w:r>
    </w:p>
    <w:tbl>
      <w:tblPr>
        <w:tblStyle w:val="3"/>
        <w:tblW w:w="8140" w:type="dxa"/>
        <w:jc w:val="center"/>
        <w:shd w:val="clear" w:color="auto" w:fill="auto"/>
        <w:tblLayout w:type="autofit"/>
        <w:tblCellMar>
          <w:top w:w="15" w:type="dxa"/>
          <w:left w:w="15" w:type="dxa"/>
          <w:bottom w:w="15" w:type="dxa"/>
          <w:right w:w="15" w:type="dxa"/>
        </w:tblCellMar>
      </w:tblPr>
      <w:tblGrid>
        <w:gridCol w:w="3113"/>
        <w:gridCol w:w="1875"/>
        <w:gridCol w:w="6"/>
        <w:gridCol w:w="1265"/>
        <w:gridCol w:w="1881"/>
      </w:tblGrid>
      <w:tr>
        <w:tblPrEx>
          <w:shd w:val="clear" w:color="auto" w:fill="auto"/>
          <w:tblCellMar>
            <w:top w:w="15" w:type="dxa"/>
            <w:left w:w="15" w:type="dxa"/>
            <w:bottom w:w="15" w:type="dxa"/>
            <w:right w:w="15" w:type="dxa"/>
          </w:tblCellMar>
        </w:tblPrEx>
        <w:trPr>
          <w:trHeight w:val="495" w:hRule="atLeast"/>
          <w:jc w:val="center"/>
        </w:trPr>
        <w:tc>
          <w:tcPr>
            <w:tcW w:w="8140" w:type="dxa"/>
            <w:gridSpan w:val="5"/>
            <w:tcBorders>
              <w:top w:val="single" w:color="auto" w:sz="8" w:space="0"/>
              <w:left w:val="single" w:color="auto" w:sz="8" w:space="0"/>
              <w:bottom w:val="single" w:color="auto" w:sz="8" w:space="0"/>
              <w:right w:val="single" w:color="auto" w:sz="8" w:space="0"/>
            </w:tcBorders>
            <w:shd w:val="clear" w:color="auto" w:fill="C6D9F1"/>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第二十条第（一）项</w:t>
            </w:r>
          </w:p>
        </w:tc>
      </w:tr>
      <w:tr>
        <w:tblPrEx>
          <w:tblCellMar>
            <w:top w:w="15" w:type="dxa"/>
            <w:left w:w="15" w:type="dxa"/>
            <w:bottom w:w="15" w:type="dxa"/>
            <w:right w:w="15" w:type="dxa"/>
          </w:tblCellMar>
        </w:tblPrEx>
        <w:trPr>
          <w:trHeight w:val="882" w:hRule="atLeast"/>
          <w:jc w:val="center"/>
        </w:trPr>
        <w:tc>
          <w:tcPr>
            <w:tcW w:w="3113" w:type="dxa"/>
            <w:tcBorders>
              <w:top w:val="nil"/>
              <w:left w:val="single" w:color="auto" w:sz="8" w:space="0"/>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信息内容</w:t>
            </w:r>
          </w:p>
        </w:tc>
        <w:tc>
          <w:tcPr>
            <w:tcW w:w="1875" w:type="dxa"/>
            <w:tcBorders>
              <w:top w:val="single" w:color="auto" w:sz="8" w:space="0"/>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本年新</w:t>
            </w:r>
            <w:r>
              <w:rPr>
                <w:rFonts w:hint="eastAsia" w:ascii="仿宋_GB2312" w:hAnsi="仿宋_GB2312" w:eastAsia="仿宋_GB2312" w:cs="仿宋_GB2312"/>
                <w:color w:val="000000"/>
                <w:kern w:val="0"/>
                <w:sz w:val="22"/>
                <w:szCs w:val="22"/>
                <w:lang w:val="en-US" w:eastAsia="zh-CN" w:bidi="ar"/>
              </w:rPr>
              <w:br w:type="textWrapping"/>
            </w:r>
            <w:r>
              <w:rPr>
                <w:rFonts w:hint="eastAsia" w:ascii="仿宋_GB2312" w:hAnsi="仿宋_GB2312" w:eastAsia="仿宋_GB2312" w:cs="仿宋_GB2312"/>
                <w:color w:val="000000"/>
                <w:kern w:val="0"/>
                <w:sz w:val="22"/>
                <w:szCs w:val="22"/>
                <w:lang w:val="en-US" w:eastAsia="zh-CN" w:bidi="ar"/>
              </w:rPr>
              <w:t>制作数量</w:t>
            </w:r>
          </w:p>
        </w:tc>
        <w:tc>
          <w:tcPr>
            <w:tcW w:w="1271" w:type="dxa"/>
            <w:gridSpan w:val="2"/>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本年新</w:t>
            </w:r>
            <w:r>
              <w:rPr>
                <w:rFonts w:hint="eastAsia" w:ascii="仿宋_GB2312" w:hAnsi="仿宋_GB2312" w:eastAsia="仿宋_GB2312" w:cs="仿宋_GB2312"/>
                <w:color w:val="000000"/>
                <w:kern w:val="0"/>
                <w:sz w:val="22"/>
                <w:szCs w:val="22"/>
                <w:lang w:val="en-US" w:eastAsia="zh-CN" w:bidi="ar"/>
              </w:rPr>
              <w:br w:type="textWrapping"/>
            </w:r>
            <w:r>
              <w:rPr>
                <w:rFonts w:hint="eastAsia" w:ascii="仿宋_GB2312" w:hAnsi="仿宋_GB2312" w:eastAsia="仿宋_GB2312" w:cs="仿宋_GB2312"/>
                <w:color w:val="000000"/>
                <w:kern w:val="0"/>
                <w:sz w:val="22"/>
                <w:szCs w:val="22"/>
                <w:lang w:val="en-US" w:eastAsia="zh-CN" w:bidi="ar"/>
              </w:rPr>
              <w:t>公开数量</w:t>
            </w:r>
          </w:p>
        </w:tc>
        <w:tc>
          <w:tcPr>
            <w:tcW w:w="1881" w:type="dxa"/>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对外公开总数量</w:t>
            </w:r>
          </w:p>
        </w:tc>
      </w:tr>
      <w:tr>
        <w:tblPrEx>
          <w:tblCellMar>
            <w:top w:w="15" w:type="dxa"/>
            <w:left w:w="15" w:type="dxa"/>
            <w:bottom w:w="15" w:type="dxa"/>
            <w:right w:w="15" w:type="dxa"/>
          </w:tblCellMar>
        </w:tblPrEx>
        <w:trPr>
          <w:trHeight w:val="523" w:hRule="atLeast"/>
          <w:jc w:val="center"/>
        </w:trPr>
        <w:tc>
          <w:tcPr>
            <w:tcW w:w="3113" w:type="dxa"/>
            <w:tcBorders>
              <w:top w:val="nil"/>
              <w:left w:val="single" w:color="auto" w:sz="8" w:space="0"/>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规章</w:t>
            </w:r>
          </w:p>
        </w:tc>
        <w:tc>
          <w:tcPr>
            <w:tcW w:w="1875" w:type="dxa"/>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default" w:ascii="仿宋_GB2312" w:hAnsi="仿宋_GB2312" w:eastAsia="仿宋_GB2312" w:cs="仿宋_GB2312"/>
                <w:color w:val="000000"/>
                <w:sz w:val="22"/>
                <w:szCs w:val="22"/>
                <w:lang w:val="en-US"/>
              </w:rPr>
            </w:pPr>
            <w:r>
              <w:rPr>
                <w:rFonts w:hint="eastAsia" w:ascii="仿宋_GB2312" w:hAnsi="仿宋_GB2312" w:eastAsia="仿宋_GB2312" w:cs="仿宋_GB2312"/>
                <w:color w:val="000000"/>
                <w:kern w:val="0"/>
                <w:sz w:val="22"/>
                <w:szCs w:val="22"/>
                <w:lang w:val="en-US" w:eastAsia="zh-CN" w:bidi="ar"/>
              </w:rPr>
              <w:t>　　0</w:t>
            </w:r>
          </w:p>
        </w:tc>
        <w:tc>
          <w:tcPr>
            <w:tcW w:w="1271" w:type="dxa"/>
            <w:gridSpan w:val="2"/>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default" w:ascii="仿宋_GB2312" w:hAnsi="仿宋_GB2312" w:eastAsia="仿宋_GB2312" w:cs="仿宋_GB2312"/>
                <w:color w:val="000000"/>
                <w:sz w:val="22"/>
                <w:szCs w:val="22"/>
                <w:lang w:val="en-US"/>
              </w:rPr>
            </w:pPr>
            <w:r>
              <w:rPr>
                <w:rFonts w:hint="eastAsia" w:ascii="仿宋_GB2312" w:hAnsi="仿宋_GB2312" w:eastAsia="仿宋_GB2312" w:cs="仿宋_GB2312"/>
                <w:color w:val="000000"/>
                <w:kern w:val="0"/>
                <w:sz w:val="22"/>
                <w:szCs w:val="22"/>
                <w:lang w:val="en-US" w:eastAsia="zh-CN" w:bidi="ar"/>
              </w:rPr>
              <w:t> 0</w:t>
            </w:r>
          </w:p>
        </w:tc>
        <w:tc>
          <w:tcPr>
            <w:tcW w:w="1881" w:type="dxa"/>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default" w:ascii="仿宋_GB2312" w:hAnsi="仿宋_GB2312" w:eastAsia="仿宋_GB2312" w:cs="仿宋_GB2312"/>
                <w:color w:val="000000"/>
                <w:sz w:val="22"/>
                <w:szCs w:val="22"/>
                <w:lang w:val="en-US"/>
              </w:rPr>
            </w:pPr>
            <w:r>
              <w:rPr>
                <w:rFonts w:hint="eastAsia" w:ascii="仿宋_GB2312" w:hAnsi="仿宋_GB2312" w:eastAsia="仿宋_GB2312" w:cs="仿宋_GB2312"/>
                <w:color w:val="000000"/>
                <w:kern w:val="0"/>
                <w:sz w:val="22"/>
                <w:szCs w:val="22"/>
                <w:lang w:val="en-US" w:eastAsia="zh-CN" w:bidi="ar"/>
              </w:rPr>
              <w:t>　0</w:t>
            </w:r>
          </w:p>
        </w:tc>
      </w:tr>
      <w:tr>
        <w:tblPrEx>
          <w:tblCellMar>
            <w:top w:w="15" w:type="dxa"/>
            <w:left w:w="15" w:type="dxa"/>
            <w:bottom w:w="15" w:type="dxa"/>
            <w:right w:w="15" w:type="dxa"/>
          </w:tblCellMar>
        </w:tblPrEx>
        <w:trPr>
          <w:trHeight w:val="471" w:hRule="atLeast"/>
          <w:jc w:val="center"/>
        </w:trPr>
        <w:tc>
          <w:tcPr>
            <w:tcW w:w="3113" w:type="dxa"/>
            <w:tcBorders>
              <w:top w:val="nil"/>
              <w:left w:val="single" w:color="auto" w:sz="8" w:space="0"/>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规范性文件</w:t>
            </w:r>
          </w:p>
        </w:tc>
        <w:tc>
          <w:tcPr>
            <w:tcW w:w="1875" w:type="dxa"/>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default" w:ascii="仿宋_GB2312" w:hAnsi="仿宋_GB2312" w:eastAsia="仿宋_GB2312" w:cs="仿宋_GB2312"/>
                <w:color w:val="000000"/>
                <w:sz w:val="22"/>
                <w:szCs w:val="22"/>
                <w:lang w:val="en-US"/>
              </w:rPr>
            </w:pPr>
            <w:r>
              <w:rPr>
                <w:rFonts w:hint="eastAsia" w:ascii="仿宋_GB2312" w:hAnsi="仿宋_GB2312" w:eastAsia="仿宋_GB2312" w:cs="仿宋_GB2312"/>
                <w:color w:val="000000"/>
                <w:kern w:val="0"/>
                <w:sz w:val="22"/>
                <w:szCs w:val="22"/>
                <w:lang w:val="en-US" w:eastAsia="zh-CN" w:bidi="ar"/>
              </w:rPr>
              <w:t>　　0</w:t>
            </w:r>
          </w:p>
        </w:tc>
        <w:tc>
          <w:tcPr>
            <w:tcW w:w="1271" w:type="dxa"/>
            <w:gridSpan w:val="2"/>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default" w:ascii="仿宋_GB2312" w:hAnsi="仿宋_GB2312" w:eastAsia="仿宋_GB2312" w:cs="仿宋_GB2312"/>
                <w:color w:val="000000"/>
                <w:sz w:val="22"/>
                <w:szCs w:val="22"/>
                <w:lang w:val="en-US"/>
              </w:rPr>
            </w:pPr>
            <w:r>
              <w:rPr>
                <w:rFonts w:hint="eastAsia" w:ascii="仿宋_GB2312" w:hAnsi="仿宋_GB2312" w:eastAsia="仿宋_GB2312" w:cs="仿宋_GB2312"/>
                <w:color w:val="000000"/>
                <w:kern w:val="0"/>
                <w:sz w:val="22"/>
                <w:szCs w:val="22"/>
                <w:lang w:val="en-US" w:eastAsia="zh-CN" w:bidi="ar"/>
              </w:rPr>
              <w:t> 0</w:t>
            </w:r>
          </w:p>
        </w:tc>
        <w:tc>
          <w:tcPr>
            <w:tcW w:w="1881" w:type="dxa"/>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default" w:ascii="仿宋_GB2312" w:hAnsi="仿宋_GB2312" w:eastAsia="仿宋_GB2312" w:cs="仿宋_GB2312"/>
                <w:color w:val="000000"/>
                <w:sz w:val="22"/>
                <w:szCs w:val="22"/>
                <w:lang w:val="en-US"/>
              </w:rPr>
            </w:pPr>
            <w:r>
              <w:rPr>
                <w:rFonts w:hint="eastAsia" w:ascii="仿宋_GB2312" w:hAnsi="仿宋_GB2312" w:eastAsia="仿宋_GB2312" w:cs="仿宋_GB2312"/>
                <w:color w:val="000000"/>
                <w:kern w:val="0"/>
                <w:sz w:val="22"/>
                <w:szCs w:val="22"/>
                <w:lang w:val="en-US" w:eastAsia="zh-CN" w:bidi="ar"/>
              </w:rPr>
              <w:t>　0</w:t>
            </w:r>
          </w:p>
        </w:tc>
      </w:tr>
      <w:tr>
        <w:tblPrEx>
          <w:tblCellMar>
            <w:top w:w="15" w:type="dxa"/>
            <w:left w:w="15" w:type="dxa"/>
            <w:bottom w:w="15" w:type="dxa"/>
            <w:right w:w="15" w:type="dxa"/>
          </w:tblCellMar>
        </w:tblPrEx>
        <w:trPr>
          <w:trHeight w:val="480" w:hRule="atLeast"/>
          <w:jc w:val="center"/>
        </w:trPr>
        <w:tc>
          <w:tcPr>
            <w:tcW w:w="8140" w:type="dxa"/>
            <w:gridSpan w:val="5"/>
            <w:tcBorders>
              <w:top w:val="nil"/>
              <w:left w:val="single" w:color="auto" w:sz="8" w:space="0"/>
              <w:bottom w:val="single" w:color="auto" w:sz="8" w:space="0"/>
              <w:right w:val="single" w:color="auto" w:sz="8" w:space="0"/>
            </w:tcBorders>
            <w:shd w:val="clear" w:color="auto" w:fill="C6D9F1"/>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第二十条第（五）项</w:t>
            </w:r>
          </w:p>
        </w:tc>
      </w:tr>
      <w:tr>
        <w:tblPrEx>
          <w:tblCellMar>
            <w:top w:w="15" w:type="dxa"/>
            <w:left w:w="15" w:type="dxa"/>
            <w:bottom w:w="15" w:type="dxa"/>
            <w:right w:w="15" w:type="dxa"/>
          </w:tblCellMar>
        </w:tblPrEx>
        <w:trPr>
          <w:trHeight w:val="634" w:hRule="atLeast"/>
          <w:jc w:val="center"/>
        </w:trPr>
        <w:tc>
          <w:tcPr>
            <w:tcW w:w="3113" w:type="dxa"/>
            <w:tcBorders>
              <w:top w:val="nil"/>
              <w:left w:val="single" w:color="auto" w:sz="8" w:space="0"/>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信息内容</w:t>
            </w:r>
          </w:p>
        </w:tc>
        <w:tc>
          <w:tcPr>
            <w:tcW w:w="1875" w:type="dxa"/>
            <w:tcBorders>
              <w:top w:val="single" w:color="auto" w:sz="8" w:space="0"/>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上一年项目数量</w:t>
            </w:r>
          </w:p>
        </w:tc>
        <w:tc>
          <w:tcPr>
            <w:tcW w:w="1271" w:type="dxa"/>
            <w:gridSpan w:val="2"/>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本年增/减</w:t>
            </w:r>
          </w:p>
        </w:tc>
        <w:tc>
          <w:tcPr>
            <w:tcW w:w="1881" w:type="dxa"/>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处理决定数量</w:t>
            </w:r>
          </w:p>
        </w:tc>
      </w:tr>
      <w:tr>
        <w:tblPrEx>
          <w:tblCellMar>
            <w:top w:w="15" w:type="dxa"/>
            <w:left w:w="15" w:type="dxa"/>
            <w:bottom w:w="15" w:type="dxa"/>
            <w:right w:w="15" w:type="dxa"/>
          </w:tblCellMar>
        </w:tblPrEx>
        <w:trPr>
          <w:trHeight w:val="528" w:hRule="atLeast"/>
          <w:jc w:val="center"/>
        </w:trPr>
        <w:tc>
          <w:tcPr>
            <w:tcW w:w="3113" w:type="dxa"/>
            <w:tcBorders>
              <w:top w:val="nil"/>
              <w:left w:val="single" w:color="auto" w:sz="8" w:space="0"/>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行政许可</w:t>
            </w:r>
          </w:p>
        </w:tc>
        <w:tc>
          <w:tcPr>
            <w:tcW w:w="1881" w:type="dxa"/>
            <w:gridSpan w:val="2"/>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default" w:ascii="仿宋_GB2312" w:hAnsi="仿宋_GB2312" w:eastAsia="仿宋_GB2312" w:cs="仿宋_GB2312"/>
                <w:color w:val="000000"/>
                <w:sz w:val="22"/>
                <w:szCs w:val="22"/>
                <w:lang w:val="en-US"/>
              </w:rPr>
            </w:pPr>
            <w:r>
              <w:rPr>
                <w:rFonts w:hint="eastAsia" w:ascii="仿宋_GB2312" w:hAnsi="仿宋_GB2312" w:eastAsia="仿宋_GB2312" w:cs="仿宋_GB2312"/>
                <w:color w:val="000000"/>
                <w:kern w:val="0"/>
                <w:sz w:val="22"/>
                <w:szCs w:val="22"/>
                <w:lang w:val="en-US" w:eastAsia="zh-CN" w:bidi="ar"/>
              </w:rPr>
              <w:t>　</w:t>
            </w:r>
          </w:p>
        </w:tc>
        <w:tc>
          <w:tcPr>
            <w:tcW w:w="1265" w:type="dxa"/>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default" w:ascii="仿宋_GB2312" w:hAnsi="仿宋_GB2312" w:eastAsia="仿宋_GB2312" w:cs="仿宋_GB2312"/>
                <w:color w:val="000000"/>
                <w:sz w:val="22"/>
                <w:szCs w:val="22"/>
                <w:lang w:val="en-US"/>
              </w:rPr>
            </w:pPr>
            <w:r>
              <w:rPr>
                <w:rFonts w:hint="eastAsia" w:ascii="仿宋_GB2312" w:hAnsi="仿宋_GB2312" w:eastAsia="仿宋_GB2312" w:cs="仿宋_GB2312"/>
                <w:color w:val="000000"/>
                <w:kern w:val="0"/>
                <w:sz w:val="22"/>
                <w:szCs w:val="22"/>
                <w:lang w:val="en-US" w:eastAsia="zh-CN" w:bidi="ar"/>
              </w:rPr>
              <w:t>　1</w:t>
            </w:r>
          </w:p>
        </w:tc>
        <w:tc>
          <w:tcPr>
            <w:tcW w:w="1881" w:type="dxa"/>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default" w:ascii="仿宋_GB2312" w:hAnsi="仿宋_GB2312" w:eastAsia="仿宋_GB2312" w:cs="仿宋_GB2312"/>
                <w:color w:val="000000"/>
                <w:sz w:val="22"/>
                <w:szCs w:val="22"/>
                <w:lang w:val="en-US"/>
              </w:rPr>
            </w:pPr>
            <w:r>
              <w:rPr>
                <w:rFonts w:hint="eastAsia" w:ascii="仿宋_GB2312" w:hAnsi="仿宋_GB2312" w:eastAsia="仿宋_GB2312" w:cs="仿宋_GB2312"/>
                <w:color w:val="000000"/>
                <w:kern w:val="0"/>
                <w:sz w:val="22"/>
                <w:szCs w:val="22"/>
                <w:lang w:val="en-US" w:eastAsia="zh-CN" w:bidi="ar"/>
              </w:rPr>
              <w:t>　1</w:t>
            </w:r>
          </w:p>
        </w:tc>
      </w:tr>
      <w:tr>
        <w:tblPrEx>
          <w:tblCellMar>
            <w:top w:w="15" w:type="dxa"/>
            <w:left w:w="15" w:type="dxa"/>
            <w:bottom w:w="15" w:type="dxa"/>
            <w:right w:w="15" w:type="dxa"/>
          </w:tblCellMar>
        </w:tblPrEx>
        <w:trPr>
          <w:trHeight w:val="550" w:hRule="atLeast"/>
          <w:jc w:val="center"/>
        </w:trPr>
        <w:tc>
          <w:tcPr>
            <w:tcW w:w="3113" w:type="dxa"/>
            <w:tcBorders>
              <w:top w:val="nil"/>
              <w:left w:val="single" w:color="auto" w:sz="8" w:space="0"/>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其他对外管理服务事项</w:t>
            </w:r>
          </w:p>
        </w:tc>
        <w:tc>
          <w:tcPr>
            <w:tcW w:w="1881" w:type="dxa"/>
            <w:gridSpan w:val="2"/>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default" w:ascii="仿宋_GB2312" w:hAnsi="仿宋_GB2312" w:eastAsia="仿宋_GB2312" w:cs="仿宋_GB2312"/>
                <w:color w:val="000000"/>
                <w:sz w:val="22"/>
                <w:szCs w:val="22"/>
                <w:lang w:val="en-US"/>
              </w:rPr>
            </w:pPr>
            <w:r>
              <w:rPr>
                <w:rFonts w:hint="eastAsia" w:ascii="仿宋_GB2312" w:hAnsi="仿宋_GB2312" w:eastAsia="仿宋_GB2312" w:cs="仿宋_GB2312"/>
                <w:color w:val="000000"/>
                <w:kern w:val="0"/>
                <w:sz w:val="22"/>
                <w:szCs w:val="22"/>
                <w:lang w:val="en-US" w:eastAsia="zh-CN" w:bidi="ar"/>
              </w:rPr>
              <w:t>　</w:t>
            </w:r>
          </w:p>
        </w:tc>
        <w:tc>
          <w:tcPr>
            <w:tcW w:w="1265" w:type="dxa"/>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default" w:ascii="仿宋_GB2312" w:hAnsi="仿宋_GB2312" w:eastAsia="仿宋_GB2312" w:cs="仿宋_GB2312"/>
                <w:color w:val="000000"/>
                <w:sz w:val="22"/>
                <w:szCs w:val="22"/>
                <w:lang w:val="en-US"/>
              </w:rPr>
            </w:pPr>
            <w:r>
              <w:rPr>
                <w:rFonts w:hint="eastAsia" w:ascii="仿宋_GB2312" w:hAnsi="仿宋_GB2312" w:eastAsia="仿宋_GB2312" w:cs="仿宋_GB2312"/>
                <w:color w:val="000000"/>
                <w:kern w:val="0"/>
                <w:sz w:val="22"/>
                <w:szCs w:val="22"/>
                <w:lang w:val="en-US" w:eastAsia="zh-CN" w:bidi="ar"/>
              </w:rPr>
              <w:t>　0</w:t>
            </w:r>
          </w:p>
        </w:tc>
        <w:tc>
          <w:tcPr>
            <w:tcW w:w="1881" w:type="dxa"/>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default" w:ascii="仿宋_GB2312" w:hAnsi="仿宋_GB2312" w:eastAsia="仿宋_GB2312" w:cs="仿宋_GB2312"/>
                <w:color w:val="000000"/>
                <w:sz w:val="22"/>
                <w:szCs w:val="22"/>
                <w:lang w:val="en-US"/>
              </w:rPr>
            </w:pPr>
            <w:r>
              <w:rPr>
                <w:rFonts w:hint="eastAsia" w:ascii="仿宋_GB2312" w:hAnsi="仿宋_GB2312" w:eastAsia="仿宋_GB2312" w:cs="仿宋_GB2312"/>
                <w:color w:val="000000"/>
                <w:kern w:val="0"/>
                <w:sz w:val="22"/>
                <w:szCs w:val="22"/>
                <w:lang w:val="en-US" w:eastAsia="zh-CN" w:bidi="ar"/>
              </w:rPr>
              <w:t>　0</w:t>
            </w:r>
          </w:p>
        </w:tc>
      </w:tr>
      <w:tr>
        <w:tblPrEx>
          <w:tblCellMar>
            <w:top w:w="15" w:type="dxa"/>
            <w:left w:w="15" w:type="dxa"/>
            <w:bottom w:w="15" w:type="dxa"/>
            <w:right w:w="15" w:type="dxa"/>
          </w:tblCellMar>
        </w:tblPrEx>
        <w:trPr>
          <w:trHeight w:val="406" w:hRule="atLeast"/>
          <w:jc w:val="center"/>
        </w:trPr>
        <w:tc>
          <w:tcPr>
            <w:tcW w:w="8140" w:type="dxa"/>
            <w:gridSpan w:val="5"/>
            <w:tcBorders>
              <w:top w:val="nil"/>
              <w:left w:val="single" w:color="auto" w:sz="8" w:space="0"/>
              <w:bottom w:val="single" w:color="auto" w:sz="8" w:space="0"/>
              <w:right w:val="single" w:color="auto" w:sz="8" w:space="0"/>
            </w:tcBorders>
            <w:shd w:val="clear" w:color="auto" w:fill="C6D9F1"/>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第二十条第（六）项</w:t>
            </w:r>
          </w:p>
        </w:tc>
      </w:tr>
      <w:tr>
        <w:tblPrEx>
          <w:tblCellMar>
            <w:top w:w="15" w:type="dxa"/>
            <w:left w:w="15" w:type="dxa"/>
            <w:bottom w:w="15" w:type="dxa"/>
            <w:right w:w="15" w:type="dxa"/>
          </w:tblCellMar>
        </w:tblPrEx>
        <w:trPr>
          <w:trHeight w:val="634" w:hRule="atLeast"/>
          <w:jc w:val="center"/>
        </w:trPr>
        <w:tc>
          <w:tcPr>
            <w:tcW w:w="3113" w:type="dxa"/>
            <w:tcBorders>
              <w:top w:val="nil"/>
              <w:left w:val="single" w:color="auto" w:sz="8" w:space="0"/>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信息内容</w:t>
            </w:r>
          </w:p>
        </w:tc>
        <w:tc>
          <w:tcPr>
            <w:tcW w:w="1875" w:type="dxa"/>
            <w:tcBorders>
              <w:top w:val="single" w:color="auto" w:sz="8" w:space="0"/>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上一年项目数量</w:t>
            </w:r>
          </w:p>
        </w:tc>
        <w:tc>
          <w:tcPr>
            <w:tcW w:w="1271" w:type="dxa"/>
            <w:gridSpan w:val="2"/>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本年增/减</w:t>
            </w:r>
          </w:p>
        </w:tc>
        <w:tc>
          <w:tcPr>
            <w:tcW w:w="1881" w:type="dxa"/>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处理决定数量</w:t>
            </w:r>
          </w:p>
        </w:tc>
      </w:tr>
      <w:tr>
        <w:tblPrEx>
          <w:shd w:val="clear" w:color="auto" w:fill="auto"/>
          <w:tblCellMar>
            <w:top w:w="15" w:type="dxa"/>
            <w:left w:w="15" w:type="dxa"/>
            <w:bottom w:w="15" w:type="dxa"/>
            <w:right w:w="15" w:type="dxa"/>
          </w:tblCellMar>
        </w:tblPrEx>
        <w:trPr>
          <w:trHeight w:val="430" w:hRule="atLeast"/>
          <w:jc w:val="center"/>
        </w:trPr>
        <w:tc>
          <w:tcPr>
            <w:tcW w:w="3113" w:type="dxa"/>
            <w:tcBorders>
              <w:top w:val="nil"/>
              <w:left w:val="single" w:color="auto" w:sz="8" w:space="0"/>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行政处罚</w:t>
            </w:r>
          </w:p>
        </w:tc>
        <w:tc>
          <w:tcPr>
            <w:tcW w:w="1881" w:type="dxa"/>
            <w:gridSpan w:val="2"/>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　</w:t>
            </w:r>
          </w:p>
        </w:tc>
        <w:tc>
          <w:tcPr>
            <w:tcW w:w="1265" w:type="dxa"/>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default" w:ascii="仿宋_GB2312" w:hAnsi="仿宋_GB2312" w:eastAsia="仿宋_GB2312" w:cs="仿宋_GB2312"/>
                <w:color w:val="000000"/>
                <w:sz w:val="22"/>
                <w:szCs w:val="22"/>
                <w:lang w:val="en-US"/>
              </w:rPr>
            </w:pPr>
            <w:r>
              <w:rPr>
                <w:rFonts w:hint="eastAsia" w:ascii="仿宋_GB2312" w:hAnsi="仿宋_GB2312" w:eastAsia="仿宋_GB2312" w:cs="仿宋_GB2312"/>
                <w:color w:val="000000"/>
                <w:kern w:val="0"/>
                <w:sz w:val="22"/>
                <w:szCs w:val="22"/>
                <w:lang w:val="en-US" w:eastAsia="zh-CN" w:bidi="ar"/>
              </w:rPr>
              <w:t>　17</w:t>
            </w:r>
          </w:p>
        </w:tc>
        <w:tc>
          <w:tcPr>
            <w:tcW w:w="1881" w:type="dxa"/>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default" w:ascii="仿宋_GB2312" w:hAnsi="仿宋_GB2312" w:eastAsia="仿宋_GB2312" w:cs="仿宋_GB2312"/>
                <w:color w:val="000000"/>
                <w:sz w:val="22"/>
                <w:szCs w:val="22"/>
                <w:lang w:val="en-US"/>
              </w:rPr>
            </w:pPr>
            <w:r>
              <w:rPr>
                <w:rFonts w:hint="eastAsia" w:ascii="仿宋_GB2312" w:hAnsi="仿宋_GB2312" w:eastAsia="仿宋_GB2312" w:cs="仿宋_GB2312"/>
                <w:color w:val="000000"/>
                <w:kern w:val="0"/>
                <w:sz w:val="22"/>
                <w:szCs w:val="22"/>
                <w:lang w:val="en-US" w:eastAsia="zh-CN" w:bidi="ar"/>
              </w:rPr>
              <w:t>　17</w:t>
            </w:r>
          </w:p>
        </w:tc>
      </w:tr>
      <w:tr>
        <w:tblPrEx>
          <w:tblCellMar>
            <w:top w:w="15" w:type="dxa"/>
            <w:left w:w="15" w:type="dxa"/>
            <w:bottom w:w="15" w:type="dxa"/>
            <w:right w:w="15" w:type="dxa"/>
          </w:tblCellMar>
        </w:tblPrEx>
        <w:trPr>
          <w:trHeight w:val="409" w:hRule="atLeast"/>
          <w:jc w:val="center"/>
        </w:trPr>
        <w:tc>
          <w:tcPr>
            <w:tcW w:w="3113" w:type="dxa"/>
            <w:tcBorders>
              <w:top w:val="nil"/>
              <w:left w:val="single" w:color="auto" w:sz="8" w:space="0"/>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行政强制</w:t>
            </w:r>
          </w:p>
        </w:tc>
        <w:tc>
          <w:tcPr>
            <w:tcW w:w="1881" w:type="dxa"/>
            <w:gridSpan w:val="2"/>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　</w:t>
            </w:r>
          </w:p>
        </w:tc>
        <w:tc>
          <w:tcPr>
            <w:tcW w:w="1265" w:type="dxa"/>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default" w:ascii="仿宋_GB2312" w:hAnsi="仿宋_GB2312" w:eastAsia="仿宋_GB2312" w:cs="仿宋_GB2312"/>
                <w:color w:val="000000"/>
                <w:sz w:val="22"/>
                <w:szCs w:val="22"/>
                <w:lang w:val="en-US"/>
              </w:rPr>
            </w:pPr>
            <w:r>
              <w:rPr>
                <w:rFonts w:hint="eastAsia" w:ascii="仿宋_GB2312" w:hAnsi="仿宋_GB2312" w:eastAsia="仿宋_GB2312" w:cs="仿宋_GB2312"/>
                <w:color w:val="000000"/>
                <w:kern w:val="0"/>
                <w:sz w:val="22"/>
                <w:szCs w:val="22"/>
                <w:lang w:val="en-US" w:eastAsia="zh-CN" w:bidi="ar"/>
              </w:rPr>
              <w:t>　0</w:t>
            </w:r>
          </w:p>
        </w:tc>
        <w:tc>
          <w:tcPr>
            <w:tcW w:w="1881" w:type="dxa"/>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default" w:ascii="仿宋_GB2312" w:hAnsi="仿宋_GB2312" w:eastAsia="仿宋_GB2312" w:cs="仿宋_GB2312"/>
                <w:color w:val="000000"/>
                <w:sz w:val="22"/>
                <w:szCs w:val="22"/>
                <w:lang w:val="en-US"/>
              </w:rPr>
            </w:pPr>
            <w:r>
              <w:rPr>
                <w:rFonts w:hint="eastAsia" w:ascii="仿宋_GB2312" w:hAnsi="仿宋_GB2312" w:eastAsia="仿宋_GB2312" w:cs="仿宋_GB2312"/>
                <w:color w:val="000000"/>
                <w:kern w:val="0"/>
                <w:sz w:val="22"/>
                <w:szCs w:val="22"/>
                <w:lang w:val="en-US" w:eastAsia="zh-CN" w:bidi="ar"/>
              </w:rPr>
              <w:t>　0</w:t>
            </w:r>
          </w:p>
        </w:tc>
      </w:tr>
      <w:tr>
        <w:tblPrEx>
          <w:tblCellMar>
            <w:top w:w="15" w:type="dxa"/>
            <w:left w:w="15" w:type="dxa"/>
            <w:bottom w:w="15" w:type="dxa"/>
            <w:right w:w="15" w:type="dxa"/>
          </w:tblCellMar>
        </w:tblPrEx>
        <w:trPr>
          <w:trHeight w:val="474" w:hRule="atLeast"/>
          <w:jc w:val="center"/>
        </w:trPr>
        <w:tc>
          <w:tcPr>
            <w:tcW w:w="8140" w:type="dxa"/>
            <w:gridSpan w:val="5"/>
            <w:tcBorders>
              <w:top w:val="nil"/>
              <w:left w:val="single" w:color="auto" w:sz="8" w:space="0"/>
              <w:bottom w:val="single" w:color="auto" w:sz="8" w:space="0"/>
              <w:right w:val="single" w:color="auto" w:sz="8" w:space="0"/>
            </w:tcBorders>
            <w:shd w:val="clear" w:color="auto" w:fill="C6D9F1"/>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第二十条第（八）项</w:t>
            </w:r>
          </w:p>
        </w:tc>
      </w:tr>
      <w:tr>
        <w:tblPrEx>
          <w:tblCellMar>
            <w:top w:w="15" w:type="dxa"/>
            <w:left w:w="15" w:type="dxa"/>
            <w:bottom w:w="15" w:type="dxa"/>
            <w:right w:w="15" w:type="dxa"/>
          </w:tblCellMar>
        </w:tblPrEx>
        <w:trPr>
          <w:trHeight w:val="270" w:hRule="atLeast"/>
          <w:jc w:val="center"/>
        </w:trPr>
        <w:tc>
          <w:tcPr>
            <w:tcW w:w="3113" w:type="dxa"/>
            <w:tcBorders>
              <w:top w:val="nil"/>
              <w:left w:val="single" w:color="auto" w:sz="8" w:space="0"/>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信息内容</w:t>
            </w:r>
          </w:p>
        </w:tc>
        <w:tc>
          <w:tcPr>
            <w:tcW w:w="1881" w:type="dxa"/>
            <w:gridSpan w:val="2"/>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上一年项目数量</w:t>
            </w:r>
          </w:p>
        </w:tc>
        <w:tc>
          <w:tcPr>
            <w:tcW w:w="3146" w:type="dxa"/>
            <w:gridSpan w:val="2"/>
            <w:tcBorders>
              <w:top w:val="single" w:color="auto" w:sz="8" w:space="0"/>
              <w:left w:val="nil"/>
              <w:bottom w:val="single" w:color="auto" w:sz="8" w:space="0"/>
              <w:right w:val="single" w:color="000000"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本年增/减</w:t>
            </w:r>
          </w:p>
        </w:tc>
      </w:tr>
      <w:tr>
        <w:tblPrEx>
          <w:tblCellMar>
            <w:top w:w="15" w:type="dxa"/>
            <w:left w:w="15" w:type="dxa"/>
            <w:bottom w:w="15" w:type="dxa"/>
            <w:right w:w="15" w:type="dxa"/>
          </w:tblCellMar>
        </w:tblPrEx>
        <w:trPr>
          <w:trHeight w:val="551" w:hRule="atLeast"/>
          <w:jc w:val="center"/>
        </w:trPr>
        <w:tc>
          <w:tcPr>
            <w:tcW w:w="3113" w:type="dxa"/>
            <w:tcBorders>
              <w:top w:val="nil"/>
              <w:left w:val="single" w:color="auto" w:sz="8" w:space="0"/>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行政事业性收费</w:t>
            </w:r>
          </w:p>
        </w:tc>
        <w:tc>
          <w:tcPr>
            <w:tcW w:w="1881" w:type="dxa"/>
            <w:gridSpan w:val="2"/>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　</w:t>
            </w:r>
          </w:p>
        </w:tc>
        <w:tc>
          <w:tcPr>
            <w:tcW w:w="3146" w:type="dxa"/>
            <w:gridSpan w:val="2"/>
            <w:tcBorders>
              <w:top w:val="nil"/>
              <w:left w:val="nil"/>
              <w:bottom w:val="single" w:color="auto" w:sz="8" w:space="0"/>
              <w:right w:val="single" w:color="000000"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default" w:ascii="仿宋_GB2312" w:hAnsi="仿宋_GB2312" w:eastAsia="仿宋_GB2312" w:cs="仿宋_GB2312"/>
                <w:color w:val="000000"/>
                <w:sz w:val="22"/>
                <w:szCs w:val="22"/>
                <w:lang w:val="en-US"/>
              </w:rPr>
            </w:pPr>
            <w:r>
              <w:rPr>
                <w:rFonts w:hint="eastAsia" w:ascii="仿宋_GB2312" w:hAnsi="仿宋_GB2312" w:eastAsia="仿宋_GB2312" w:cs="仿宋_GB2312"/>
                <w:color w:val="000000"/>
                <w:kern w:val="0"/>
                <w:sz w:val="22"/>
                <w:szCs w:val="22"/>
                <w:lang w:val="en-US" w:eastAsia="zh-CN" w:bidi="ar"/>
              </w:rPr>
              <w:t> 0</w:t>
            </w:r>
          </w:p>
        </w:tc>
      </w:tr>
      <w:tr>
        <w:tblPrEx>
          <w:tblCellMar>
            <w:top w:w="15" w:type="dxa"/>
            <w:left w:w="15" w:type="dxa"/>
            <w:bottom w:w="15" w:type="dxa"/>
            <w:right w:w="15" w:type="dxa"/>
          </w:tblCellMar>
        </w:tblPrEx>
        <w:trPr>
          <w:trHeight w:val="476" w:hRule="atLeast"/>
          <w:jc w:val="center"/>
        </w:trPr>
        <w:tc>
          <w:tcPr>
            <w:tcW w:w="8140" w:type="dxa"/>
            <w:gridSpan w:val="5"/>
            <w:tcBorders>
              <w:top w:val="nil"/>
              <w:left w:val="single" w:color="auto" w:sz="8" w:space="0"/>
              <w:bottom w:val="single" w:color="auto" w:sz="8" w:space="0"/>
              <w:right w:val="single" w:color="auto" w:sz="8" w:space="0"/>
            </w:tcBorders>
            <w:shd w:val="clear" w:color="auto" w:fill="C6D9F1"/>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第二十条第（九）项</w:t>
            </w:r>
          </w:p>
        </w:tc>
      </w:tr>
      <w:tr>
        <w:tblPrEx>
          <w:tblCellMar>
            <w:top w:w="15" w:type="dxa"/>
            <w:left w:w="15" w:type="dxa"/>
            <w:bottom w:w="15" w:type="dxa"/>
            <w:right w:w="15" w:type="dxa"/>
          </w:tblCellMar>
        </w:tblPrEx>
        <w:trPr>
          <w:trHeight w:val="585" w:hRule="atLeast"/>
          <w:jc w:val="center"/>
        </w:trPr>
        <w:tc>
          <w:tcPr>
            <w:tcW w:w="3113" w:type="dxa"/>
            <w:tcBorders>
              <w:top w:val="nil"/>
              <w:left w:val="single" w:color="auto" w:sz="8" w:space="0"/>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信息内容</w:t>
            </w:r>
          </w:p>
        </w:tc>
        <w:tc>
          <w:tcPr>
            <w:tcW w:w="1881" w:type="dxa"/>
            <w:gridSpan w:val="2"/>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采购项目数量</w:t>
            </w:r>
          </w:p>
        </w:tc>
        <w:tc>
          <w:tcPr>
            <w:tcW w:w="3146" w:type="dxa"/>
            <w:gridSpan w:val="2"/>
            <w:tcBorders>
              <w:top w:val="single" w:color="auto" w:sz="8" w:space="0"/>
              <w:left w:val="nil"/>
              <w:bottom w:val="single" w:color="auto" w:sz="8" w:space="0"/>
              <w:right w:val="single" w:color="000000"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采购总金额</w:t>
            </w:r>
          </w:p>
        </w:tc>
      </w:tr>
      <w:tr>
        <w:tblPrEx>
          <w:tblCellMar>
            <w:top w:w="15" w:type="dxa"/>
            <w:left w:w="15" w:type="dxa"/>
            <w:bottom w:w="15" w:type="dxa"/>
            <w:right w:w="15" w:type="dxa"/>
          </w:tblCellMar>
        </w:tblPrEx>
        <w:trPr>
          <w:trHeight w:val="539" w:hRule="atLeast"/>
          <w:jc w:val="center"/>
        </w:trPr>
        <w:tc>
          <w:tcPr>
            <w:tcW w:w="3113" w:type="dxa"/>
            <w:tcBorders>
              <w:top w:val="nil"/>
              <w:left w:val="single" w:color="auto" w:sz="8" w:space="0"/>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政府集中采购</w:t>
            </w:r>
          </w:p>
        </w:tc>
        <w:tc>
          <w:tcPr>
            <w:tcW w:w="1881" w:type="dxa"/>
            <w:gridSpan w:val="2"/>
            <w:tcBorders>
              <w:top w:val="nil"/>
              <w:left w:val="nil"/>
              <w:bottom w:val="single" w:color="auto" w:sz="8" w:space="0"/>
              <w:right w:val="single" w:color="auto" w:sz="8" w:space="0"/>
            </w:tcBorders>
            <w:shd w:val="clear" w:color="auto" w:fill="E6F4FF"/>
            <w:noWrap/>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default" w:ascii="仿宋_GB2312" w:hAnsi="仿宋_GB2312" w:eastAsia="仿宋_GB2312" w:cs="仿宋_GB2312"/>
                <w:color w:val="000000"/>
                <w:sz w:val="22"/>
                <w:szCs w:val="22"/>
                <w:lang w:val="en-US"/>
              </w:rPr>
            </w:pPr>
            <w:r>
              <w:rPr>
                <w:rFonts w:hint="eastAsia" w:ascii="仿宋_GB2312" w:hAnsi="仿宋_GB2312" w:eastAsia="仿宋_GB2312" w:cs="仿宋_GB2312"/>
                <w:color w:val="000000"/>
                <w:kern w:val="0"/>
                <w:sz w:val="22"/>
                <w:szCs w:val="22"/>
                <w:lang w:val="en-US" w:eastAsia="zh-CN" w:bidi="ar"/>
              </w:rPr>
              <w:t>4</w:t>
            </w:r>
          </w:p>
        </w:tc>
        <w:tc>
          <w:tcPr>
            <w:tcW w:w="3146" w:type="dxa"/>
            <w:gridSpan w:val="2"/>
            <w:tcBorders>
              <w:top w:val="nil"/>
              <w:left w:val="nil"/>
              <w:bottom w:val="single" w:color="auto" w:sz="8" w:space="0"/>
              <w:right w:val="single" w:color="000000" w:sz="8" w:space="0"/>
            </w:tcBorders>
            <w:shd w:val="clear" w:color="auto" w:fill="E6F4FF"/>
            <w:noWrap/>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jc w:val="center"/>
              <w:textAlignment w:val="auto"/>
              <w:rPr>
                <w:rFonts w:hint="default" w:ascii="仿宋_GB2312" w:hAnsi="仿宋_GB2312" w:eastAsia="仿宋_GB2312" w:cs="仿宋_GB2312"/>
                <w:color w:val="000000"/>
                <w:sz w:val="22"/>
                <w:szCs w:val="22"/>
                <w:lang w:val="en-US" w:eastAsia="zh-CN"/>
              </w:rPr>
            </w:pPr>
            <w:r>
              <w:rPr>
                <w:rFonts w:hint="eastAsia" w:ascii="仿宋_GB2312" w:hAnsi="仿宋_GB2312" w:eastAsia="仿宋_GB2312" w:cs="仿宋_GB2312"/>
                <w:color w:val="000000"/>
                <w:sz w:val="22"/>
                <w:szCs w:val="22"/>
                <w:lang w:val="en-US" w:eastAsia="zh-CN"/>
              </w:rPr>
              <w:t>257万</w:t>
            </w:r>
          </w:p>
        </w:tc>
      </w:tr>
    </w:tbl>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420"/>
        <w:jc w:val="both"/>
        <w:textAlignment w:val="auto"/>
        <w:rPr>
          <w:rFonts w:hint="eastAsia" w:ascii="仿宋_GB2312" w:hAnsi="仿宋_GB2312" w:eastAsia="仿宋_GB2312" w:cs="仿宋_GB2312"/>
          <w:color w:val="000000"/>
          <w:sz w:val="32"/>
          <w:szCs w:val="32"/>
        </w:rPr>
      </w:pP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420"/>
        <w:jc w:val="both"/>
        <w:textAlignment w:val="auto"/>
        <w:rPr>
          <w:rFonts w:hint="eastAsia" w:ascii="仿宋_GB2312" w:hAnsi="仿宋_GB2312" w:eastAsia="仿宋_GB2312" w:cs="仿宋_GB2312"/>
          <w:color w:val="000000"/>
          <w:sz w:val="32"/>
          <w:szCs w:val="32"/>
        </w:rPr>
      </w:pP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240" w:afterAutospacing="0" w:line="560" w:lineRule="exact"/>
        <w:ind w:left="0" w:right="0" w:firstLine="420"/>
        <w:jc w:val="both"/>
        <w:textAlignment w:val="auto"/>
        <w:rPr>
          <w:rFonts w:hint="eastAsia" w:ascii="仿宋_GB2312" w:hAnsi="仿宋_GB2312" w:eastAsia="仿宋_GB2312" w:cs="仿宋_GB2312"/>
          <w:color w:val="000000"/>
          <w:sz w:val="32"/>
          <w:szCs w:val="32"/>
        </w:rPr>
      </w:pPr>
      <w:r>
        <w:rPr>
          <w:rFonts w:hint="eastAsia" w:ascii="仿宋_GB2312" w:hAnsi="仿宋_GB2312" w:eastAsia="仿宋_GB2312" w:cs="仿宋_GB2312"/>
          <w:b/>
          <w:color w:val="000000"/>
          <w:sz w:val="32"/>
          <w:szCs w:val="32"/>
        </w:rPr>
        <w:t>三、收到和处理政府信息公开申请情况</w:t>
      </w:r>
    </w:p>
    <w:tbl>
      <w:tblPr>
        <w:tblStyle w:val="3"/>
        <w:tblW w:w="9071" w:type="dxa"/>
        <w:jc w:val="center"/>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autofit"/>
        <w:tblCellMar>
          <w:top w:w="15" w:type="dxa"/>
          <w:left w:w="15" w:type="dxa"/>
          <w:bottom w:w="15" w:type="dxa"/>
          <w:right w:w="15" w:type="dxa"/>
        </w:tblCellMar>
      </w:tblPr>
      <w:tblGrid>
        <w:gridCol w:w="636"/>
        <w:gridCol w:w="855"/>
        <w:gridCol w:w="2078"/>
        <w:gridCol w:w="811"/>
        <w:gridCol w:w="753"/>
        <w:gridCol w:w="753"/>
        <w:gridCol w:w="811"/>
        <w:gridCol w:w="971"/>
        <w:gridCol w:w="710"/>
        <w:gridCol w:w="693"/>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3479" w:type="dxa"/>
            <w:gridSpan w:val="3"/>
            <w:vMerge w:val="restart"/>
            <w:tcBorders>
              <w:top w:val="single" w:color="auto" w:sz="8" w:space="0"/>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（本列数据的勾稽关系为：第一项加第二项之和，等于第三项加第四项之和）</w:t>
            </w:r>
          </w:p>
        </w:tc>
        <w:tc>
          <w:tcPr>
            <w:tcW w:w="5592" w:type="dxa"/>
            <w:gridSpan w:val="7"/>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申请人情况</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3479" w:type="dxa"/>
            <w:gridSpan w:val="3"/>
            <w:vMerge w:val="continue"/>
            <w:tcBorders>
              <w:top w:val="single" w:color="auto" w:sz="8" w:space="0"/>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825" w:type="dxa"/>
            <w:vMerge w:val="restart"/>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自然人</w:t>
            </w:r>
          </w:p>
        </w:tc>
        <w:tc>
          <w:tcPr>
            <w:tcW w:w="4065" w:type="dxa"/>
            <w:gridSpan w:val="5"/>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法人或其他组织</w:t>
            </w:r>
          </w:p>
        </w:tc>
        <w:tc>
          <w:tcPr>
            <w:tcW w:w="702" w:type="dxa"/>
            <w:vMerge w:val="restart"/>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总计</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3479" w:type="dxa"/>
            <w:gridSpan w:val="3"/>
            <w:vMerge w:val="continue"/>
            <w:tcBorders>
              <w:top w:val="single" w:color="auto" w:sz="8" w:space="0"/>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825" w:type="dxa"/>
            <w:vMerge w:val="continue"/>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商业企业</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科研机构</w:t>
            </w:r>
          </w:p>
        </w:tc>
        <w:tc>
          <w:tcPr>
            <w:tcW w:w="825" w:type="dxa"/>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社会公益组织</w:t>
            </w:r>
          </w:p>
        </w:tc>
        <w:tc>
          <w:tcPr>
            <w:tcW w:w="990" w:type="dxa"/>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法律服务机构</w:t>
            </w:r>
          </w:p>
        </w:tc>
        <w:tc>
          <w:tcPr>
            <w:tcW w:w="720" w:type="dxa"/>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其他</w:t>
            </w:r>
          </w:p>
        </w:tc>
        <w:tc>
          <w:tcPr>
            <w:tcW w:w="702" w:type="dxa"/>
            <w:vMerge w:val="continue"/>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3479" w:type="dxa"/>
            <w:gridSpan w:val="3"/>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一、本年新收政府信息公开申请数量</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default" w:ascii="仿宋_GB2312" w:hAnsi="仿宋_GB2312" w:eastAsia="仿宋_GB2312" w:cs="仿宋_GB2312"/>
                <w:color w:val="000000"/>
                <w:sz w:val="21"/>
                <w:szCs w:val="21"/>
                <w:lang w:val="en-US"/>
              </w:rPr>
            </w:pPr>
            <w:r>
              <w:rPr>
                <w:rFonts w:hint="eastAsia" w:ascii="仿宋_GB2312" w:hAnsi="仿宋_GB2312" w:eastAsia="仿宋_GB2312" w:cs="仿宋_GB2312"/>
                <w:color w:val="000000"/>
                <w:kern w:val="0"/>
                <w:sz w:val="21"/>
                <w:szCs w:val="21"/>
                <w:lang w:val="en-US" w:eastAsia="zh-CN" w:bidi="ar"/>
              </w:rPr>
              <w:t> 2</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default" w:ascii="仿宋_GB2312" w:hAnsi="仿宋_GB2312" w:eastAsia="仿宋_GB2312" w:cs="仿宋_GB2312"/>
                <w:color w:val="000000"/>
                <w:sz w:val="21"/>
                <w:szCs w:val="21"/>
                <w:lang w:val="en-US"/>
              </w:rPr>
            </w:pPr>
            <w:r>
              <w:rPr>
                <w:rFonts w:hint="eastAsia" w:ascii="仿宋_GB2312" w:hAnsi="仿宋_GB2312" w:eastAsia="仿宋_GB2312" w:cs="仿宋_GB2312"/>
                <w:color w:val="000000"/>
                <w:kern w:val="0"/>
                <w:sz w:val="21"/>
                <w:szCs w:val="21"/>
                <w:lang w:val="en-US" w:eastAsia="zh-CN" w:bidi="ar"/>
              </w:rPr>
              <w:t> 4</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default" w:ascii="仿宋_GB2312" w:hAnsi="仿宋_GB2312" w:eastAsia="仿宋_GB2312" w:cs="仿宋_GB2312"/>
                <w:color w:val="000000"/>
                <w:sz w:val="21"/>
                <w:szCs w:val="21"/>
                <w:lang w:val="en-US"/>
              </w:rPr>
            </w:pPr>
            <w:r>
              <w:rPr>
                <w:rFonts w:hint="eastAsia" w:ascii="仿宋_GB2312" w:hAnsi="仿宋_GB2312" w:eastAsia="仿宋_GB2312" w:cs="仿宋_GB2312"/>
                <w:color w:val="000000"/>
                <w:kern w:val="0"/>
                <w:sz w:val="21"/>
                <w:szCs w:val="21"/>
                <w:lang w:val="en-US" w:eastAsia="zh-CN" w:bidi="ar"/>
              </w:rPr>
              <w:t> 6</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3479" w:type="dxa"/>
            <w:gridSpan w:val="3"/>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二、上年结转政府信息公开申请数量</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494" w:type="dxa"/>
            <w:vMerge w:val="restart"/>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三、本年度办理结果</w:t>
            </w:r>
          </w:p>
        </w:tc>
        <w:tc>
          <w:tcPr>
            <w:tcW w:w="2985" w:type="dxa"/>
            <w:gridSpan w:val="2"/>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（一）予以公开</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default" w:ascii="仿宋_GB2312" w:hAnsi="仿宋_GB2312" w:eastAsia="仿宋_GB2312" w:cs="仿宋_GB2312"/>
                <w:color w:val="000000"/>
                <w:sz w:val="21"/>
                <w:szCs w:val="21"/>
                <w:lang w:val="en-US"/>
              </w:rPr>
            </w:pPr>
            <w:r>
              <w:rPr>
                <w:rFonts w:hint="eastAsia" w:ascii="仿宋_GB2312" w:hAnsi="仿宋_GB2312" w:eastAsia="仿宋_GB2312" w:cs="仿宋_GB2312"/>
                <w:color w:val="000000"/>
                <w:kern w:val="0"/>
                <w:sz w:val="21"/>
                <w:szCs w:val="21"/>
                <w:lang w:val="en-US" w:eastAsia="zh-CN" w:bidi="ar"/>
              </w:rPr>
              <w:t> 1</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default" w:ascii="仿宋_GB2312" w:hAnsi="仿宋_GB2312" w:eastAsia="仿宋_GB2312" w:cs="仿宋_GB2312"/>
                <w:color w:val="000000"/>
                <w:sz w:val="21"/>
                <w:szCs w:val="21"/>
                <w:lang w:val="en-US"/>
              </w:rPr>
            </w:pPr>
            <w:r>
              <w:rPr>
                <w:rFonts w:hint="eastAsia" w:ascii="仿宋_GB2312" w:hAnsi="仿宋_GB2312" w:eastAsia="仿宋_GB2312" w:cs="仿宋_GB2312"/>
                <w:color w:val="000000"/>
                <w:kern w:val="0"/>
                <w:sz w:val="21"/>
                <w:szCs w:val="21"/>
                <w:lang w:val="en-US" w:eastAsia="zh-CN" w:bidi="ar"/>
              </w:rPr>
              <w:t> 1</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494" w:type="dxa"/>
            <w:vMerge w:val="continue"/>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2985" w:type="dxa"/>
            <w:gridSpan w:val="2"/>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（二）部分公开（区分处理的，只计这一情形，不计其他情形）</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494" w:type="dxa"/>
            <w:vMerge w:val="continue"/>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855" w:type="dxa"/>
            <w:vMerge w:val="restart"/>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（三）不予公开</w:t>
            </w:r>
          </w:p>
        </w:tc>
        <w:tc>
          <w:tcPr>
            <w:tcW w:w="213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1.属于国家秘密</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default" w:ascii="仿宋_GB2312" w:hAnsi="仿宋_GB2312" w:eastAsia="仿宋_GB2312" w:cs="仿宋_GB2312"/>
                <w:color w:val="000000"/>
                <w:sz w:val="21"/>
                <w:szCs w:val="21"/>
                <w:lang w:val="en-US"/>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default" w:ascii="仿宋_GB2312" w:hAnsi="仿宋_GB2312" w:eastAsia="仿宋_GB2312" w:cs="仿宋_GB2312"/>
                <w:color w:val="000000"/>
                <w:sz w:val="21"/>
                <w:szCs w:val="21"/>
                <w:lang w:val="en-US"/>
              </w:rPr>
            </w:pPr>
            <w:r>
              <w:rPr>
                <w:rFonts w:hint="eastAsia" w:ascii="仿宋_GB2312" w:hAnsi="仿宋_GB2312" w:eastAsia="仿宋_GB2312" w:cs="仿宋_GB2312"/>
                <w:color w:val="000000"/>
                <w:kern w:val="0"/>
                <w:sz w:val="21"/>
                <w:szCs w:val="21"/>
                <w:lang w:val="en-US" w:eastAsia="zh-CN" w:bidi="ar"/>
              </w:rPr>
              <w:t> </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494" w:type="dxa"/>
            <w:vMerge w:val="continue"/>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855" w:type="dxa"/>
            <w:vMerge w:val="continue"/>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213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2.其他法律行政法规禁止公开</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494" w:type="dxa"/>
            <w:vMerge w:val="continue"/>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855" w:type="dxa"/>
            <w:vMerge w:val="continue"/>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213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3.危及“三安全一稳定”</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494" w:type="dxa"/>
            <w:vMerge w:val="continue"/>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855" w:type="dxa"/>
            <w:vMerge w:val="continue"/>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213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4.保护第三方合法权益</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494" w:type="dxa"/>
            <w:vMerge w:val="continue"/>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855" w:type="dxa"/>
            <w:vMerge w:val="continue"/>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213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5.属于三类内部事务信息</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494" w:type="dxa"/>
            <w:vMerge w:val="continue"/>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855" w:type="dxa"/>
            <w:vMerge w:val="continue"/>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213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6.属于四类过程性信息</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494" w:type="dxa"/>
            <w:vMerge w:val="continue"/>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855" w:type="dxa"/>
            <w:vMerge w:val="continue"/>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213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7.属于行政执法案卷</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494" w:type="dxa"/>
            <w:vMerge w:val="continue"/>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855" w:type="dxa"/>
            <w:vMerge w:val="continue"/>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213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8.属于行政查询事项</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494" w:type="dxa"/>
            <w:vMerge w:val="continue"/>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855" w:type="dxa"/>
            <w:vMerge w:val="restart"/>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（四）无法提供</w:t>
            </w:r>
          </w:p>
        </w:tc>
        <w:tc>
          <w:tcPr>
            <w:tcW w:w="213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1.本机关不掌握相关政府信息</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2 </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default" w:ascii="仿宋_GB2312" w:hAnsi="仿宋_GB2312" w:eastAsia="仿宋_GB2312" w:cs="仿宋_GB2312"/>
                <w:color w:val="000000"/>
                <w:sz w:val="21"/>
                <w:szCs w:val="21"/>
                <w:lang w:val="en-US"/>
              </w:rPr>
            </w:pPr>
            <w:r>
              <w:rPr>
                <w:rFonts w:hint="eastAsia" w:ascii="仿宋_GB2312" w:hAnsi="仿宋_GB2312" w:eastAsia="仿宋_GB2312" w:cs="仿宋_GB2312"/>
                <w:color w:val="000000"/>
                <w:kern w:val="0"/>
                <w:sz w:val="21"/>
                <w:szCs w:val="21"/>
                <w:lang w:val="en-US" w:eastAsia="zh-CN" w:bidi="ar"/>
              </w:rPr>
              <w:t> 2</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494" w:type="dxa"/>
            <w:vMerge w:val="continue"/>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855" w:type="dxa"/>
            <w:vMerge w:val="continue"/>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213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2.没有现成信息需要另行制作</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494" w:type="dxa"/>
            <w:vMerge w:val="continue"/>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855" w:type="dxa"/>
            <w:vMerge w:val="continue"/>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213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3.补正后申请内容仍不明确</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2 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default" w:ascii="仿宋_GB2312" w:hAnsi="仿宋_GB2312" w:eastAsia="仿宋_GB2312" w:cs="仿宋_GB2312"/>
                <w:color w:val="000000"/>
                <w:sz w:val="21"/>
                <w:szCs w:val="21"/>
                <w:lang w:val="en-US"/>
              </w:rPr>
            </w:pPr>
            <w:r>
              <w:rPr>
                <w:rFonts w:hint="eastAsia" w:ascii="仿宋_GB2312" w:hAnsi="仿宋_GB2312" w:eastAsia="仿宋_GB2312" w:cs="仿宋_GB2312"/>
                <w:color w:val="000000"/>
                <w:kern w:val="0"/>
                <w:sz w:val="21"/>
                <w:szCs w:val="21"/>
                <w:lang w:val="en-US" w:eastAsia="zh-CN" w:bidi="ar"/>
              </w:rPr>
              <w:t> 1</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default" w:ascii="仿宋_GB2312" w:hAnsi="仿宋_GB2312" w:eastAsia="仿宋_GB2312" w:cs="仿宋_GB2312"/>
                <w:color w:val="000000"/>
                <w:sz w:val="21"/>
                <w:szCs w:val="21"/>
                <w:lang w:val="en-US"/>
              </w:rPr>
            </w:pPr>
            <w:r>
              <w:rPr>
                <w:rFonts w:hint="eastAsia" w:ascii="仿宋_GB2312" w:hAnsi="仿宋_GB2312" w:eastAsia="仿宋_GB2312" w:cs="仿宋_GB2312"/>
                <w:color w:val="000000"/>
                <w:kern w:val="0"/>
                <w:sz w:val="21"/>
                <w:szCs w:val="21"/>
                <w:lang w:val="en-US" w:eastAsia="zh-CN" w:bidi="ar"/>
              </w:rPr>
              <w:t> 3</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494" w:type="dxa"/>
            <w:vMerge w:val="continue"/>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855" w:type="dxa"/>
            <w:vMerge w:val="restart"/>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（五）不予处理</w:t>
            </w:r>
          </w:p>
        </w:tc>
        <w:tc>
          <w:tcPr>
            <w:tcW w:w="213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1.信访举报投诉类申请</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494" w:type="dxa"/>
            <w:vMerge w:val="continue"/>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855" w:type="dxa"/>
            <w:vMerge w:val="continue"/>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213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2.重复申请</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494" w:type="dxa"/>
            <w:vMerge w:val="continue"/>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855" w:type="dxa"/>
            <w:vMerge w:val="continue"/>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213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3.要求提供公开出版物</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494" w:type="dxa"/>
            <w:vMerge w:val="continue"/>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855" w:type="dxa"/>
            <w:vMerge w:val="continue"/>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213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4.无正当理由大量反复申请</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494" w:type="dxa"/>
            <w:vMerge w:val="continue"/>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855" w:type="dxa"/>
            <w:vMerge w:val="continue"/>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213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5.要求行政机关确认或重新出具已获取信息</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494" w:type="dxa"/>
            <w:vMerge w:val="continue"/>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2985" w:type="dxa"/>
            <w:gridSpan w:val="2"/>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（六）其他处理</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494" w:type="dxa"/>
            <w:vMerge w:val="continue"/>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rPr>
            </w:pPr>
          </w:p>
        </w:tc>
        <w:tc>
          <w:tcPr>
            <w:tcW w:w="2985" w:type="dxa"/>
            <w:gridSpan w:val="2"/>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（七）总计</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3479" w:type="dxa"/>
            <w:gridSpan w:val="3"/>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left"/>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四、结转下年度继续办理</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6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82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99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2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1"/>
                <w:szCs w:val="21"/>
              </w:rPr>
            </w:pPr>
            <w:r>
              <w:rPr>
                <w:rFonts w:hint="eastAsia" w:ascii="仿宋_GB2312" w:hAnsi="仿宋_GB2312" w:eastAsia="仿宋_GB2312" w:cs="仿宋_GB2312"/>
                <w:color w:val="000000"/>
                <w:kern w:val="0"/>
                <w:sz w:val="21"/>
                <w:szCs w:val="21"/>
                <w:lang w:val="en-US" w:eastAsia="zh-CN" w:bidi="ar"/>
              </w:rPr>
              <w:t> </w:t>
            </w:r>
          </w:p>
        </w:tc>
        <w:tc>
          <w:tcPr>
            <w:tcW w:w="702"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1"/>
                <w:szCs w:val="21"/>
                <w:lang w:val="en-US" w:eastAsia="zh-CN"/>
              </w:rPr>
            </w:pPr>
            <w:r>
              <w:rPr>
                <w:rFonts w:hint="eastAsia" w:ascii="仿宋_GB2312" w:hAnsi="仿宋_GB2312" w:eastAsia="仿宋_GB2312" w:cs="仿宋_GB2312"/>
                <w:color w:val="000000"/>
                <w:sz w:val="21"/>
                <w:szCs w:val="21"/>
                <w:lang w:val="en-US" w:eastAsia="zh-CN"/>
              </w:rPr>
              <w:t>0</w:t>
            </w:r>
          </w:p>
        </w:tc>
      </w:tr>
    </w:tbl>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420"/>
        <w:jc w:val="both"/>
        <w:textAlignment w:val="auto"/>
        <w:rPr>
          <w:rFonts w:hint="eastAsia" w:ascii="仿宋_GB2312" w:hAnsi="仿宋_GB2312" w:eastAsia="仿宋_GB2312" w:cs="仿宋_GB2312"/>
          <w:color w:val="000000"/>
          <w:sz w:val="32"/>
          <w:szCs w:val="32"/>
        </w:rPr>
      </w:pP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420"/>
        <w:jc w:val="both"/>
        <w:textAlignment w:val="auto"/>
        <w:rPr>
          <w:rFonts w:hint="eastAsia" w:ascii="仿宋_GB2312" w:hAnsi="仿宋_GB2312" w:eastAsia="仿宋_GB2312" w:cs="仿宋_GB2312"/>
          <w:color w:val="000000"/>
          <w:sz w:val="32"/>
          <w:szCs w:val="32"/>
        </w:rPr>
      </w:pPr>
      <w:r>
        <w:rPr>
          <w:rFonts w:hint="eastAsia" w:ascii="仿宋_GB2312" w:hAnsi="仿宋_GB2312" w:eastAsia="仿宋_GB2312" w:cs="仿宋_GB2312"/>
          <w:b/>
          <w:color w:val="000000"/>
          <w:sz w:val="32"/>
          <w:szCs w:val="32"/>
        </w:rPr>
        <w:t>四、政府信息公开行政复议、行政诉讼情况</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420"/>
        <w:jc w:val="both"/>
        <w:textAlignment w:val="auto"/>
        <w:rPr>
          <w:rFonts w:hint="eastAsia" w:ascii="仿宋_GB2312" w:hAnsi="仿宋_GB2312" w:eastAsia="仿宋_GB2312" w:cs="仿宋_GB2312"/>
          <w:color w:val="000000"/>
          <w:sz w:val="32"/>
          <w:szCs w:val="32"/>
        </w:rPr>
      </w:pPr>
    </w:p>
    <w:tbl>
      <w:tblPr>
        <w:tblStyle w:val="3"/>
        <w:tblW w:w="9071" w:type="dxa"/>
        <w:jc w:val="center"/>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autofit"/>
        <w:tblCellMar>
          <w:top w:w="15" w:type="dxa"/>
          <w:left w:w="15" w:type="dxa"/>
          <w:bottom w:w="15" w:type="dxa"/>
          <w:right w:w="15" w:type="dxa"/>
        </w:tblCellMar>
      </w:tblPr>
      <w:tblGrid>
        <w:gridCol w:w="604"/>
        <w:gridCol w:w="604"/>
        <w:gridCol w:w="604"/>
        <w:gridCol w:w="604"/>
        <w:gridCol w:w="658"/>
        <w:gridCol w:w="550"/>
        <w:gridCol w:w="605"/>
        <w:gridCol w:w="605"/>
        <w:gridCol w:w="605"/>
        <w:gridCol w:w="605"/>
        <w:gridCol w:w="605"/>
        <w:gridCol w:w="605"/>
        <w:gridCol w:w="605"/>
        <w:gridCol w:w="606"/>
        <w:gridCol w:w="606"/>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3074" w:type="dxa"/>
            <w:gridSpan w:val="5"/>
            <w:tcBorders>
              <w:top w:val="single" w:color="auto" w:sz="8" w:space="0"/>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行政复议</w:t>
            </w:r>
          </w:p>
        </w:tc>
        <w:tc>
          <w:tcPr>
            <w:tcW w:w="5997" w:type="dxa"/>
            <w:gridSpan w:val="10"/>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行政诉讼</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604" w:type="dxa"/>
            <w:vMerge w:val="restart"/>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结果维持</w:t>
            </w:r>
          </w:p>
        </w:tc>
        <w:tc>
          <w:tcPr>
            <w:tcW w:w="604" w:type="dxa"/>
            <w:vMerge w:val="restart"/>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结果纠正</w:t>
            </w:r>
          </w:p>
        </w:tc>
        <w:tc>
          <w:tcPr>
            <w:tcW w:w="604" w:type="dxa"/>
            <w:vMerge w:val="restart"/>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其他结果</w:t>
            </w:r>
          </w:p>
        </w:tc>
        <w:tc>
          <w:tcPr>
            <w:tcW w:w="604" w:type="dxa"/>
            <w:vMerge w:val="restart"/>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尚未审结</w:t>
            </w:r>
          </w:p>
        </w:tc>
        <w:tc>
          <w:tcPr>
            <w:tcW w:w="658" w:type="dxa"/>
            <w:vMerge w:val="restart"/>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总计</w:t>
            </w:r>
          </w:p>
        </w:tc>
        <w:tc>
          <w:tcPr>
            <w:tcW w:w="2970" w:type="dxa"/>
            <w:gridSpan w:val="5"/>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未经复议直接起诉</w:t>
            </w:r>
          </w:p>
        </w:tc>
        <w:tc>
          <w:tcPr>
            <w:tcW w:w="3027" w:type="dxa"/>
            <w:gridSpan w:val="5"/>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复议后起诉</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604" w:type="dxa"/>
            <w:vMerge w:val="continue"/>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2"/>
                <w:szCs w:val="22"/>
              </w:rPr>
            </w:pPr>
          </w:p>
        </w:tc>
        <w:tc>
          <w:tcPr>
            <w:tcW w:w="604" w:type="dxa"/>
            <w:vMerge w:val="continue"/>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2"/>
                <w:szCs w:val="22"/>
              </w:rPr>
            </w:pPr>
          </w:p>
        </w:tc>
        <w:tc>
          <w:tcPr>
            <w:tcW w:w="604" w:type="dxa"/>
            <w:vMerge w:val="continue"/>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2"/>
                <w:szCs w:val="22"/>
              </w:rPr>
            </w:pPr>
          </w:p>
        </w:tc>
        <w:tc>
          <w:tcPr>
            <w:tcW w:w="604" w:type="dxa"/>
            <w:vMerge w:val="continue"/>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2"/>
                <w:szCs w:val="22"/>
              </w:rPr>
            </w:pPr>
          </w:p>
        </w:tc>
        <w:tc>
          <w:tcPr>
            <w:tcW w:w="658" w:type="dxa"/>
            <w:vMerge w:val="continue"/>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2"/>
                <w:szCs w:val="22"/>
              </w:rPr>
            </w:pPr>
          </w:p>
        </w:tc>
        <w:tc>
          <w:tcPr>
            <w:tcW w:w="55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结果维持</w:t>
            </w:r>
          </w:p>
        </w:tc>
        <w:tc>
          <w:tcPr>
            <w:tcW w:w="60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结果纠正</w:t>
            </w:r>
          </w:p>
        </w:tc>
        <w:tc>
          <w:tcPr>
            <w:tcW w:w="605" w:type="dxa"/>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其他结果</w:t>
            </w:r>
          </w:p>
        </w:tc>
        <w:tc>
          <w:tcPr>
            <w:tcW w:w="605" w:type="dxa"/>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尚未审结</w:t>
            </w:r>
          </w:p>
        </w:tc>
        <w:tc>
          <w:tcPr>
            <w:tcW w:w="605" w:type="dxa"/>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总计</w:t>
            </w:r>
          </w:p>
        </w:tc>
        <w:tc>
          <w:tcPr>
            <w:tcW w:w="605" w:type="dxa"/>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结果维持</w:t>
            </w:r>
          </w:p>
        </w:tc>
        <w:tc>
          <w:tcPr>
            <w:tcW w:w="605" w:type="dxa"/>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结果纠正</w:t>
            </w:r>
          </w:p>
        </w:tc>
        <w:tc>
          <w:tcPr>
            <w:tcW w:w="605" w:type="dxa"/>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其他结果</w:t>
            </w:r>
          </w:p>
        </w:tc>
        <w:tc>
          <w:tcPr>
            <w:tcW w:w="606" w:type="dxa"/>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尚未审结</w:t>
            </w:r>
          </w:p>
        </w:tc>
        <w:tc>
          <w:tcPr>
            <w:tcW w:w="606" w:type="dxa"/>
            <w:tcBorders>
              <w:top w:val="single" w:color="auto" w:sz="8" w:space="0"/>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总计</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604" w:type="dxa"/>
            <w:tcBorders>
              <w:top w:val="nil"/>
              <w:left w:val="single" w:color="auto" w:sz="8" w:space="0"/>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 </w:t>
            </w:r>
          </w:p>
        </w:tc>
        <w:tc>
          <w:tcPr>
            <w:tcW w:w="604"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 </w:t>
            </w:r>
          </w:p>
        </w:tc>
        <w:tc>
          <w:tcPr>
            <w:tcW w:w="604"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 </w:t>
            </w:r>
          </w:p>
        </w:tc>
        <w:tc>
          <w:tcPr>
            <w:tcW w:w="604"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 </w:t>
            </w:r>
          </w:p>
        </w:tc>
        <w:tc>
          <w:tcPr>
            <w:tcW w:w="658"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default" w:ascii="仿宋_GB2312" w:hAnsi="仿宋_GB2312" w:eastAsia="仿宋_GB2312" w:cs="仿宋_GB2312"/>
                <w:color w:val="000000"/>
                <w:sz w:val="22"/>
                <w:szCs w:val="22"/>
                <w:lang w:val="en-US"/>
              </w:rPr>
            </w:pPr>
            <w:r>
              <w:rPr>
                <w:rFonts w:hint="eastAsia" w:ascii="仿宋_GB2312" w:hAnsi="仿宋_GB2312" w:eastAsia="仿宋_GB2312" w:cs="仿宋_GB2312"/>
                <w:color w:val="000000"/>
                <w:kern w:val="0"/>
                <w:sz w:val="22"/>
                <w:szCs w:val="22"/>
                <w:lang w:val="en-US" w:eastAsia="zh-CN" w:bidi="ar"/>
              </w:rPr>
              <w:t> 0</w:t>
            </w:r>
          </w:p>
        </w:tc>
        <w:tc>
          <w:tcPr>
            <w:tcW w:w="550"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 </w:t>
            </w:r>
          </w:p>
        </w:tc>
        <w:tc>
          <w:tcPr>
            <w:tcW w:w="60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 </w:t>
            </w:r>
          </w:p>
        </w:tc>
        <w:tc>
          <w:tcPr>
            <w:tcW w:w="60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 </w:t>
            </w:r>
          </w:p>
        </w:tc>
        <w:tc>
          <w:tcPr>
            <w:tcW w:w="60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 </w:t>
            </w:r>
          </w:p>
        </w:tc>
        <w:tc>
          <w:tcPr>
            <w:tcW w:w="60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default" w:ascii="仿宋_GB2312" w:hAnsi="仿宋_GB2312" w:eastAsia="仿宋_GB2312" w:cs="仿宋_GB2312"/>
                <w:color w:val="000000"/>
                <w:sz w:val="22"/>
                <w:szCs w:val="22"/>
                <w:lang w:val="en-US"/>
              </w:rPr>
            </w:pPr>
            <w:r>
              <w:rPr>
                <w:rFonts w:hint="eastAsia" w:ascii="仿宋_GB2312" w:hAnsi="仿宋_GB2312" w:eastAsia="仿宋_GB2312" w:cs="仿宋_GB2312"/>
                <w:color w:val="000000"/>
                <w:kern w:val="0"/>
                <w:sz w:val="22"/>
                <w:szCs w:val="22"/>
                <w:lang w:val="en-US" w:eastAsia="zh-CN" w:bidi="ar"/>
              </w:rPr>
              <w:t> 0</w:t>
            </w:r>
          </w:p>
        </w:tc>
        <w:tc>
          <w:tcPr>
            <w:tcW w:w="60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 </w:t>
            </w:r>
          </w:p>
        </w:tc>
        <w:tc>
          <w:tcPr>
            <w:tcW w:w="60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 </w:t>
            </w:r>
          </w:p>
        </w:tc>
        <w:tc>
          <w:tcPr>
            <w:tcW w:w="605"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 </w:t>
            </w:r>
          </w:p>
        </w:tc>
        <w:tc>
          <w:tcPr>
            <w:tcW w:w="606"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jc w:val="center"/>
              <w:textAlignment w:val="auto"/>
              <w:rPr>
                <w:rFonts w:hint="eastAsia" w:ascii="仿宋_GB2312" w:hAnsi="仿宋_GB2312" w:eastAsia="仿宋_GB2312" w:cs="仿宋_GB2312"/>
                <w:color w:val="000000"/>
                <w:sz w:val="22"/>
                <w:szCs w:val="22"/>
              </w:rPr>
            </w:pPr>
            <w:r>
              <w:rPr>
                <w:rFonts w:hint="eastAsia" w:ascii="仿宋_GB2312" w:hAnsi="仿宋_GB2312" w:eastAsia="仿宋_GB2312" w:cs="仿宋_GB2312"/>
                <w:color w:val="000000"/>
                <w:kern w:val="0"/>
                <w:sz w:val="22"/>
                <w:szCs w:val="22"/>
                <w:lang w:val="en-US" w:eastAsia="zh-CN" w:bidi="ar"/>
              </w:rPr>
              <w:t> </w:t>
            </w:r>
          </w:p>
        </w:tc>
        <w:tc>
          <w:tcPr>
            <w:tcW w:w="606" w:type="dxa"/>
            <w:tcBorders>
              <w:top w:val="nil"/>
              <w:left w:val="nil"/>
              <w:bottom w:val="single" w:color="auto" w:sz="8" w:space="0"/>
              <w:right w:val="single" w:color="auto" w:sz="8" w:space="0"/>
            </w:tcBorders>
            <w:shd w:val="clear" w:color="auto" w:fill="E6F4FF"/>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color w:val="000000"/>
                <w:sz w:val="22"/>
                <w:szCs w:val="22"/>
                <w:lang w:val="en-US" w:eastAsia="zh-CN"/>
              </w:rPr>
            </w:pPr>
            <w:r>
              <w:rPr>
                <w:rFonts w:hint="eastAsia" w:ascii="仿宋_GB2312" w:hAnsi="仿宋_GB2312" w:eastAsia="仿宋_GB2312" w:cs="仿宋_GB2312"/>
                <w:color w:val="000000"/>
                <w:sz w:val="22"/>
                <w:szCs w:val="22"/>
                <w:lang w:val="en-US" w:eastAsia="zh-CN"/>
              </w:rPr>
              <w:t>0</w:t>
            </w:r>
          </w:p>
        </w:tc>
      </w:tr>
    </w:tbl>
    <w:p>
      <w:pPr>
        <w:keepNext w:val="0"/>
        <w:keepLines w:val="0"/>
        <w:pageBreakBefore w:val="0"/>
        <w:widowControl/>
        <w:suppressLineNumbers w:val="0"/>
        <w:kinsoku/>
        <w:wordWrap/>
        <w:overflowPunct/>
        <w:topLinePunct w:val="0"/>
        <w:autoSpaceDE/>
        <w:autoSpaceDN/>
        <w:bidi w:val="0"/>
        <w:adjustRightInd/>
        <w:snapToGrid/>
        <w:spacing w:before="0" w:beforeAutospacing="0" w:after="150" w:afterAutospacing="0" w:line="560" w:lineRule="exact"/>
        <w:ind w:left="0" w:right="0"/>
        <w:jc w:val="center"/>
        <w:textAlignment w:val="auto"/>
        <w:rPr>
          <w:rFonts w:hint="eastAsia" w:ascii="仿宋_GB2312" w:hAnsi="仿宋_GB2312" w:eastAsia="仿宋_GB2312" w:cs="仿宋_GB2312"/>
          <w:color w:val="000000"/>
          <w:sz w:val="22"/>
          <w:szCs w:val="22"/>
        </w:rPr>
      </w:pPr>
    </w:p>
    <w:p>
      <w:pPr>
        <w:pStyle w:val="2"/>
        <w:keepNext w:val="0"/>
        <w:keepLines w:val="0"/>
        <w:pageBreakBefore w:val="0"/>
        <w:widowControl/>
        <w:numPr>
          <w:ilvl w:val="0"/>
          <w:numId w:val="3"/>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420"/>
        <w:jc w:val="both"/>
        <w:textAlignment w:val="auto"/>
        <w:rPr>
          <w:rFonts w:hint="eastAsia" w:ascii="仿宋_GB2312" w:hAnsi="仿宋_GB2312" w:eastAsia="仿宋_GB2312" w:cs="仿宋_GB2312"/>
          <w:b/>
          <w:color w:val="000000"/>
          <w:sz w:val="32"/>
          <w:szCs w:val="32"/>
        </w:rPr>
      </w:pPr>
      <w:r>
        <w:rPr>
          <w:rFonts w:hint="eastAsia" w:ascii="仿宋_GB2312" w:hAnsi="仿宋_GB2312" w:eastAsia="仿宋_GB2312" w:cs="仿宋_GB2312"/>
          <w:b/>
          <w:color w:val="000000"/>
          <w:sz w:val="32"/>
          <w:szCs w:val="32"/>
        </w:rPr>
        <w:t>存在的主要问题及改进情况</w:t>
      </w:r>
    </w:p>
    <w:p>
      <w:pPr>
        <w:pStyle w:val="2"/>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right="0" w:rightChars="0" w:firstLine="640" w:firstLineChars="200"/>
        <w:jc w:val="both"/>
        <w:textAlignment w:val="auto"/>
        <w:rPr>
          <w:rFonts w:hint="eastAsia" w:ascii="仿宋_GB2312" w:hAnsi="仿宋_GB2312" w:eastAsia="仿宋_GB2312" w:cs="仿宋_GB2312"/>
          <w:b/>
          <w:color w:val="000000"/>
          <w:sz w:val="32"/>
          <w:szCs w:val="32"/>
        </w:rPr>
      </w:pPr>
      <w:r>
        <w:rPr>
          <w:rFonts w:hint="eastAsia" w:ascii="仿宋_GB2312" w:hAnsi="仿宋_GB2312" w:eastAsia="仿宋_GB2312" w:cs="仿宋_GB2312"/>
          <w:color w:val="auto"/>
          <w:sz w:val="32"/>
          <w:szCs w:val="32"/>
        </w:rPr>
        <w:t>201</w:t>
      </w:r>
      <w:r>
        <w:rPr>
          <w:rFonts w:hint="eastAsia" w:ascii="仿宋_GB2312" w:hAnsi="仿宋_GB2312" w:eastAsia="仿宋_GB2312" w:cs="仿宋_GB2312"/>
          <w:color w:val="auto"/>
          <w:sz w:val="32"/>
          <w:szCs w:val="32"/>
          <w:lang w:val="en-US" w:eastAsia="zh-CN"/>
        </w:rPr>
        <w:t>9</w:t>
      </w:r>
      <w:r>
        <w:rPr>
          <w:rFonts w:hint="eastAsia" w:ascii="仿宋_GB2312" w:hAnsi="仿宋_GB2312" w:eastAsia="仿宋_GB2312" w:cs="仿宋_GB2312"/>
          <w:color w:val="auto"/>
          <w:sz w:val="32"/>
          <w:szCs w:val="32"/>
        </w:rPr>
        <w:t>年，</w:t>
      </w:r>
      <w:r>
        <w:rPr>
          <w:rFonts w:hint="eastAsia" w:ascii="仿宋_GB2312" w:hAnsi="仿宋_GB2312" w:eastAsia="仿宋_GB2312" w:cs="仿宋_GB2312"/>
          <w:color w:val="auto"/>
          <w:sz w:val="32"/>
          <w:szCs w:val="32"/>
          <w:lang w:eastAsia="zh-CN"/>
        </w:rPr>
        <w:t>旗</w:t>
      </w:r>
      <w:r>
        <w:rPr>
          <w:rFonts w:hint="eastAsia" w:ascii="仿宋_GB2312" w:hAnsi="仿宋_GB2312" w:eastAsia="仿宋_GB2312" w:cs="仿宋_GB2312"/>
          <w:color w:val="auto"/>
          <w:sz w:val="32"/>
          <w:szCs w:val="32"/>
        </w:rPr>
        <w:t>林业局信息公开工作虽然取得了一定成绩，但也存在一些问题和差距。如门户网站的政民互动公众参与少、宣传教育培训弱</w:t>
      </w:r>
      <w:r>
        <w:rPr>
          <w:rFonts w:hint="eastAsia" w:ascii="仿宋_GB2312" w:hAnsi="仿宋_GB2312" w:eastAsia="仿宋_GB2312" w:cs="仿宋_GB2312"/>
          <w:color w:val="auto"/>
          <w:sz w:val="32"/>
          <w:szCs w:val="32"/>
          <w:lang w:eastAsia="zh-CN"/>
        </w:rPr>
        <w:t>、</w:t>
      </w:r>
      <w:r>
        <w:rPr>
          <w:rFonts w:hint="eastAsia" w:ascii="仿宋_GB2312" w:hAnsi="仿宋_GB2312" w:eastAsia="仿宋_GB2312" w:cs="仿宋_GB2312"/>
          <w:color w:val="auto"/>
          <w:sz w:val="32"/>
          <w:szCs w:val="32"/>
        </w:rPr>
        <w:t>更新信息有时还不是非常及时</w:t>
      </w:r>
      <w:r>
        <w:rPr>
          <w:rFonts w:hint="eastAsia" w:ascii="仿宋_GB2312" w:hAnsi="仿宋_GB2312" w:eastAsia="仿宋_GB2312" w:cs="仿宋_GB2312"/>
          <w:color w:val="auto"/>
          <w:sz w:val="32"/>
          <w:szCs w:val="32"/>
          <w:lang w:eastAsia="zh-CN"/>
        </w:rPr>
        <w:t>、</w:t>
      </w:r>
      <w:r>
        <w:rPr>
          <w:rFonts w:hint="eastAsia" w:ascii="仿宋_GB2312" w:hAnsi="仿宋_GB2312" w:eastAsia="仿宋_GB2312" w:cs="仿宋_GB2312"/>
          <w:b w:val="0"/>
          <w:i w:val="0"/>
          <w:caps w:val="0"/>
          <w:color w:val="000000"/>
          <w:spacing w:val="0"/>
          <w:sz w:val="32"/>
          <w:szCs w:val="32"/>
          <w:shd w:val="clear" w:color="auto" w:fill="FFFFFF"/>
        </w:rPr>
        <w:t>存在信息公开数量相对较少、公开渠道比较单一等问题。</w:t>
      </w:r>
      <w:r>
        <w:rPr>
          <w:rFonts w:hint="eastAsia" w:ascii="仿宋_GB2312" w:hAnsi="仿宋_GB2312" w:eastAsia="仿宋_GB2312" w:cs="仿宋_GB2312"/>
          <w:color w:val="auto"/>
          <w:sz w:val="32"/>
          <w:szCs w:val="32"/>
        </w:rPr>
        <w:t xml:space="preserve">下一步，我局将尽快完善查询、服务功能，并加强宣传培训工作和社情民意征集网上调查，切实引起对政务信息公开工作的重视，确保政府信息公开工作深入、持续、高效地开展。 </w:t>
      </w:r>
    </w:p>
    <w:p>
      <w:pPr>
        <w:keepNext w:val="0"/>
        <w:keepLines w:val="0"/>
        <w:widowControl/>
        <w:suppressLineNumbers w:val="0"/>
        <w:spacing w:after="150" w:afterAutospacing="0"/>
        <w:jc w:val="right"/>
      </w:pPr>
      <w:r>
        <w:rPr>
          <w:rFonts w:ascii="宋体" w:hAnsi="宋体" w:eastAsia="宋体" w:cs="宋体"/>
          <w:color w:val="FFFFFF"/>
          <w:kern w:val="0"/>
          <w:sz w:val="24"/>
          <w:szCs w:val="24"/>
          <w:lang w:val="en-US" w:eastAsia="zh-CN" w:bidi="ar"/>
        </w:rPr>
        <w:t>云适配版 | </w:t>
      </w:r>
      <w:r>
        <w:rPr>
          <w:rFonts w:ascii="宋体" w:hAnsi="宋体" w:eastAsia="宋体" w:cs="宋体"/>
          <w:b w:val="0"/>
          <w:color w:val="FFFFFF"/>
          <w:kern w:val="0"/>
          <w:sz w:val="24"/>
          <w:szCs w:val="24"/>
          <w:u w:val="none"/>
          <w:lang w:val="en-US" w:eastAsia="zh-CN" w:bidi="ar"/>
        </w:rPr>
        <w:fldChar w:fldCharType="begin"/>
      </w:r>
      <w:r>
        <w:rPr>
          <w:rFonts w:ascii="宋体" w:hAnsi="宋体" w:eastAsia="宋体" w:cs="宋体"/>
          <w:b w:val="0"/>
          <w:color w:val="FFFFFF"/>
          <w:kern w:val="0"/>
          <w:sz w:val="24"/>
          <w:szCs w:val="24"/>
          <w:u w:val="none"/>
          <w:lang w:val="en-US" w:eastAsia="zh-CN" w:bidi="ar"/>
        </w:rPr>
        <w:instrText xml:space="preserve"> HYPERLINK "http://www.gov.cn/zhengce/content/2019-11/26/content_5455818.htm?from=groupmessage&amp;isappinstalled=0" </w:instrText>
      </w:r>
      <w:r>
        <w:rPr>
          <w:rFonts w:ascii="宋体" w:hAnsi="宋体" w:eastAsia="宋体" w:cs="宋体"/>
          <w:b w:val="0"/>
          <w:color w:val="FFFFFF"/>
          <w:kern w:val="0"/>
          <w:sz w:val="24"/>
          <w:szCs w:val="24"/>
          <w:u w:val="none"/>
          <w:lang w:val="en-US" w:eastAsia="zh-CN" w:bidi="ar"/>
        </w:rPr>
        <w:fldChar w:fldCharType="separate"/>
      </w:r>
      <w:r>
        <w:rPr>
          <w:rStyle w:val="5"/>
          <w:rFonts w:ascii="宋体" w:hAnsi="宋体" w:eastAsia="宋体" w:cs="宋体"/>
          <w:b w:val="0"/>
          <w:color w:val="FFFFFF"/>
          <w:sz w:val="24"/>
          <w:szCs w:val="24"/>
          <w:u w:val="none"/>
        </w:rPr>
        <w:t>电脑版</w:t>
      </w:r>
      <w:r>
        <w:rPr>
          <w:rFonts w:ascii="宋体" w:hAnsi="宋体" w:eastAsia="宋体" w:cs="宋体"/>
          <w:b w:val="0"/>
          <w:color w:val="FFFFFF"/>
          <w:kern w:val="0"/>
          <w:sz w:val="24"/>
          <w:szCs w:val="24"/>
          <w:u w:val="none"/>
          <w:lang w:val="en-US" w:eastAsia="zh-CN" w:bidi="ar"/>
        </w:rPr>
        <w:fldChar w:fldCharType="end"/>
      </w: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00007A87" w:usb1="80000000" w:usb2="00000008" w:usb3="00000000" w:csb0="400001FF" w:csb1="FFFF0000"/>
  </w:font>
  <w:font w:name="宋体">
    <w:panose1 w:val="02010600030101010101"/>
    <w:charset w:val="86"/>
    <w:family w:val="auto"/>
    <w:pitch w:val="default"/>
    <w:sig w:usb0="00000003" w:usb1="080E0000" w:usb2="00000000"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00000001" w:usb1="080E0000" w:usb2="00000000" w:usb3="00000000" w:csb0="00040000"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仿宋_GB2312">
    <w:panose1 w:val="02010609030101010101"/>
    <w:charset w:val="86"/>
    <w:family w:val="auto"/>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DB83AF03"/>
    <w:multiLevelType w:val="singleLevel"/>
    <w:tmpl w:val="DB83AF03"/>
    <w:lvl w:ilvl="0" w:tentative="0">
      <w:start w:val="1"/>
      <w:numFmt w:val="chineseCounting"/>
      <w:suff w:val="nothing"/>
      <w:lvlText w:val="%1、"/>
      <w:lvlJc w:val="left"/>
      <w:rPr>
        <w:rFonts w:hint="eastAsia"/>
      </w:rPr>
    </w:lvl>
  </w:abstractNum>
  <w:abstractNum w:abstractNumId="1">
    <w:nsid w:val="FF39FA6B"/>
    <w:multiLevelType w:val="singleLevel"/>
    <w:tmpl w:val="FF39FA6B"/>
    <w:lvl w:ilvl="0" w:tentative="0">
      <w:start w:val="5"/>
      <w:numFmt w:val="chineseCounting"/>
      <w:suff w:val="nothing"/>
      <w:lvlText w:val="%1、"/>
      <w:lvlJc w:val="left"/>
      <w:rPr>
        <w:rFonts w:hint="eastAsia"/>
      </w:rPr>
    </w:lvl>
  </w:abstractNum>
  <w:abstractNum w:abstractNumId="2">
    <w:nsid w:val="738430FF"/>
    <w:multiLevelType w:val="singleLevel"/>
    <w:tmpl w:val="738430FF"/>
    <w:lvl w:ilvl="0" w:tentative="0">
      <w:start w:val="6"/>
      <w:numFmt w:val="chineseCounting"/>
      <w:suff w:val="nothing"/>
      <w:lvlText w:val="（%1）"/>
      <w:lvlJc w:val="left"/>
      <w:rPr>
        <w:rFonts w:hint="eastAsia"/>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4303531"/>
    <w:rsid w:val="02137327"/>
    <w:rsid w:val="03404FBA"/>
    <w:rsid w:val="271B37BA"/>
    <w:rsid w:val="34303531"/>
    <w:rsid w:val="592D0A58"/>
    <w:rsid w:val="59DE3815"/>
    <w:rsid w:val="62B530C6"/>
    <w:rsid w:val="6706740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Normal (Web)"/>
    <w:basedOn w:val="1"/>
    <w:qFormat/>
    <w:uiPriority w:val="0"/>
    <w:pPr>
      <w:spacing w:before="0" w:beforeAutospacing="1" w:after="0" w:afterAutospacing="1"/>
      <w:ind w:left="0" w:right="0"/>
      <w:jc w:val="left"/>
    </w:pPr>
    <w:rPr>
      <w:kern w:val="0"/>
      <w:sz w:val="24"/>
      <w:lang w:val="en-US" w:eastAsia="zh-CN" w:bidi="ar"/>
    </w:rPr>
  </w:style>
  <w:style w:type="character" w:styleId="5">
    <w:name w:val="Hyperlink"/>
    <w:basedOn w:val="4"/>
    <w:qFormat/>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11</TotalTime>
  <ScaleCrop>false</ScaleCrop>
  <LinksUpToDate>false</LinksUpToDate>
  <CharactersWithSpaces>0</CharactersWithSpaces>
  <Application>WPS Office_11.1.0.9339_F1E327BC-269C-435d-A152-05C5408002CA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2020-01-09T06:22:00Z</dcterms:created>
  <dc:creator>Yi na</dc:creator>
  <cp:lastModifiedBy>Yi na</cp:lastModifiedBy>
  <dcterms:modified xsi:type="dcterms:W3CDTF">2020-01-15T03:55:22Z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2052-11.1.0.9339</vt:lpwstr>
  </property>
</Properties>
</file>