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D9E7A">
      <w:pPr>
        <w:rPr>
          <w:rFonts w:hint="eastAsia" w:eastAsia="宋体"/>
          <w:color w:val="auto"/>
          <w:lang w:eastAsia="zh-CN"/>
        </w:rPr>
      </w:pPr>
      <w:r>
        <w:rPr>
          <w:rFonts w:hint="eastAsia" w:eastAsia="宋体"/>
          <w:color w:val="auto"/>
          <w:lang w:eastAsia="zh-CN"/>
        </w:rPr>
        <w:drawing>
          <wp:anchor distT="0" distB="0" distL="114300" distR="114300" simplePos="0" relativeHeight="251669504" behindDoc="0" locked="0" layoutInCell="1" allowOverlap="1">
            <wp:simplePos x="0" y="0"/>
            <wp:positionH relativeFrom="column">
              <wp:posOffset>-1123950</wp:posOffset>
            </wp:positionH>
            <wp:positionV relativeFrom="paragraph">
              <wp:posOffset>-937895</wp:posOffset>
            </wp:positionV>
            <wp:extent cx="7529195" cy="10697210"/>
            <wp:effectExtent l="0" t="0" r="14605" b="1270"/>
            <wp:wrapNone/>
            <wp:docPr id="78" name="图片 78" descr="5017462270c66e0e5fef6ae8df4a45af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5017462270c66e0e5fef6ae8df4a45af_"/>
                    <pic:cNvPicPr>
                      <a:picLocks noChangeAspect="1"/>
                    </pic:cNvPicPr>
                  </pic:nvPicPr>
                  <pic:blipFill>
                    <a:blip r:embed="rId6"/>
                    <a:stretch>
                      <a:fillRect/>
                    </a:stretch>
                  </pic:blipFill>
                  <pic:spPr>
                    <a:xfrm>
                      <a:off x="0" y="0"/>
                      <a:ext cx="7529195" cy="10697210"/>
                    </a:xfrm>
                    <a:prstGeom prst="rect">
                      <a:avLst/>
                    </a:prstGeom>
                  </pic:spPr>
                </pic:pic>
              </a:graphicData>
            </a:graphic>
          </wp:anchor>
        </w:drawing>
      </w:r>
    </w:p>
    <w:p w14:paraId="585F5ACE">
      <w:pPr>
        <w:jc w:val="center"/>
        <w:rPr>
          <w:color w:val="auto"/>
          <w:sz w:val="28"/>
          <w:szCs w:val="28"/>
        </w:rPr>
      </w:pPr>
    </w:p>
    <w:p w14:paraId="3E97A406">
      <w:pPr>
        <w:jc w:val="center"/>
        <w:rPr>
          <w:color w:val="auto"/>
          <w:sz w:val="28"/>
          <w:szCs w:val="28"/>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4254B5B9">
      <w:pPr>
        <w:jc w:val="both"/>
        <w:rPr>
          <w:rFonts w:hint="eastAsia" w:eastAsia="宋体"/>
          <w:color w:val="auto"/>
          <w:sz w:val="28"/>
          <w:szCs w:val="28"/>
          <w:lang w:eastAsia="zh-CN"/>
        </w:rPr>
      </w:pPr>
      <w:r>
        <w:rPr>
          <w:rFonts w:hint="eastAsia" w:eastAsia="宋体"/>
          <w:color w:val="auto"/>
          <w:sz w:val="28"/>
          <w:szCs w:val="28"/>
          <w:lang w:eastAsia="zh-CN"/>
        </w:rPr>
        <w:drawing>
          <wp:inline distT="0" distB="0" distL="114300" distR="114300">
            <wp:extent cx="5272405" cy="7643495"/>
            <wp:effectExtent l="0" t="0" r="635" b="6985"/>
            <wp:docPr id="77" name="图片 77" descr="a61cb34663a4c32053fac5c6f2bf6b04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a61cb34663a4c32053fac5c6f2bf6b04_"/>
                    <pic:cNvPicPr>
                      <a:picLocks noChangeAspect="1"/>
                    </pic:cNvPicPr>
                  </pic:nvPicPr>
                  <pic:blipFill>
                    <a:blip r:embed="rId7"/>
                    <a:stretch>
                      <a:fillRect/>
                    </a:stretch>
                  </pic:blipFill>
                  <pic:spPr>
                    <a:xfrm>
                      <a:off x="0" y="0"/>
                      <a:ext cx="5272405" cy="7643495"/>
                    </a:xfrm>
                    <a:prstGeom prst="rect">
                      <a:avLst/>
                    </a:prstGeom>
                  </pic:spPr>
                </pic:pic>
              </a:graphicData>
            </a:graphic>
          </wp:inline>
        </w:drawing>
      </w:r>
      <w:r>
        <w:rPr>
          <w:rFonts w:hint="eastAsia" w:eastAsia="宋体"/>
          <w:color w:val="auto"/>
          <w:sz w:val="28"/>
          <w:szCs w:val="28"/>
          <w:lang w:eastAsia="zh-CN"/>
        </w:rPr>
        <w:drawing>
          <wp:inline distT="0" distB="0" distL="114300" distR="114300">
            <wp:extent cx="5262880" cy="7509510"/>
            <wp:effectExtent l="0" t="0" r="10160" b="3810"/>
            <wp:docPr id="72" name="图片 72" descr="a3aba4cfa1bb1b051d48e00d3a7a7db2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a3aba4cfa1bb1b051d48e00d3a7a7db2_"/>
                    <pic:cNvPicPr>
                      <a:picLocks noChangeAspect="1"/>
                    </pic:cNvPicPr>
                  </pic:nvPicPr>
                  <pic:blipFill>
                    <a:blip r:embed="rId8"/>
                    <a:stretch>
                      <a:fillRect/>
                    </a:stretch>
                  </pic:blipFill>
                  <pic:spPr>
                    <a:xfrm>
                      <a:off x="0" y="0"/>
                      <a:ext cx="5262880" cy="7509510"/>
                    </a:xfrm>
                    <a:prstGeom prst="rect">
                      <a:avLst/>
                    </a:prstGeom>
                  </pic:spPr>
                </pic:pic>
              </a:graphicData>
            </a:graphic>
          </wp:inline>
        </w:drawing>
      </w:r>
      <w:r>
        <w:rPr>
          <w:rFonts w:hint="eastAsia" w:eastAsia="宋体"/>
          <w:color w:val="auto"/>
          <w:sz w:val="28"/>
          <w:szCs w:val="28"/>
          <w:lang w:eastAsia="zh-CN"/>
        </w:rPr>
        <w:drawing>
          <wp:inline distT="0" distB="0" distL="114300" distR="114300">
            <wp:extent cx="5271135" cy="7623810"/>
            <wp:effectExtent l="0" t="0" r="1905" b="11430"/>
            <wp:docPr id="73" name="图片 73" descr="acec537acca6be3cfc19b5f76a2d1bd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acec537acca6be3cfc19b5f76a2d1bd7_"/>
                    <pic:cNvPicPr>
                      <a:picLocks noChangeAspect="1"/>
                    </pic:cNvPicPr>
                  </pic:nvPicPr>
                  <pic:blipFill>
                    <a:blip r:embed="rId9"/>
                    <a:stretch>
                      <a:fillRect/>
                    </a:stretch>
                  </pic:blipFill>
                  <pic:spPr>
                    <a:xfrm>
                      <a:off x="0" y="0"/>
                      <a:ext cx="5271135" cy="7623810"/>
                    </a:xfrm>
                    <a:prstGeom prst="rect">
                      <a:avLst/>
                    </a:prstGeom>
                  </pic:spPr>
                </pic:pic>
              </a:graphicData>
            </a:graphic>
          </wp:inline>
        </w:drawing>
      </w:r>
      <w:r>
        <w:rPr>
          <w:rFonts w:hint="eastAsia" w:eastAsia="宋体"/>
          <w:color w:val="auto"/>
          <w:sz w:val="28"/>
          <w:szCs w:val="28"/>
          <w:lang w:eastAsia="zh-CN"/>
        </w:rPr>
        <w:drawing>
          <wp:inline distT="0" distB="0" distL="114300" distR="114300">
            <wp:extent cx="5271770" cy="7426960"/>
            <wp:effectExtent l="0" t="0" r="1270" b="10160"/>
            <wp:docPr id="74" name="图片 74" descr="d1e6b3f0fec74cdd46765a4bf78cd5fc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d1e6b3f0fec74cdd46765a4bf78cd5fc_"/>
                    <pic:cNvPicPr>
                      <a:picLocks noChangeAspect="1"/>
                    </pic:cNvPicPr>
                  </pic:nvPicPr>
                  <pic:blipFill>
                    <a:blip r:embed="rId10"/>
                    <a:stretch>
                      <a:fillRect/>
                    </a:stretch>
                  </pic:blipFill>
                  <pic:spPr>
                    <a:xfrm>
                      <a:off x="0" y="0"/>
                      <a:ext cx="5271770" cy="7426960"/>
                    </a:xfrm>
                    <a:prstGeom prst="rect">
                      <a:avLst/>
                    </a:prstGeom>
                  </pic:spPr>
                </pic:pic>
              </a:graphicData>
            </a:graphic>
          </wp:inline>
        </w:drawing>
      </w:r>
    </w:p>
    <w:p w14:paraId="7B08DF92">
      <w:pPr>
        <w:pStyle w:val="2"/>
        <w:spacing w:line="360" w:lineRule="auto"/>
        <w:jc w:val="center"/>
        <w:rPr>
          <w:rFonts w:hint="eastAsia" w:eastAsia="宋体"/>
          <w:color w:val="auto"/>
          <w:sz w:val="32"/>
          <w:szCs w:val="32"/>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eastAsia="宋体"/>
          <w:color w:val="auto"/>
          <w:sz w:val="32"/>
          <w:szCs w:val="32"/>
          <w:lang w:eastAsia="zh-CN"/>
        </w:rPr>
        <w:drawing>
          <wp:inline distT="0" distB="0" distL="114300" distR="114300">
            <wp:extent cx="5261610" cy="3601720"/>
            <wp:effectExtent l="0" t="0" r="11430" b="10160"/>
            <wp:docPr id="75" name="图片 75" descr="5aeb696f65c843ddaad8c830933b8f19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5aeb696f65c843ddaad8c830933b8f19_"/>
                    <pic:cNvPicPr>
                      <a:picLocks noChangeAspect="1"/>
                    </pic:cNvPicPr>
                  </pic:nvPicPr>
                  <pic:blipFill>
                    <a:blip r:embed="rId11"/>
                    <a:stretch>
                      <a:fillRect/>
                    </a:stretch>
                  </pic:blipFill>
                  <pic:spPr>
                    <a:xfrm>
                      <a:off x="0" y="0"/>
                      <a:ext cx="5261610" cy="3601720"/>
                    </a:xfrm>
                    <a:prstGeom prst="rect">
                      <a:avLst/>
                    </a:prstGeom>
                  </pic:spPr>
                </pic:pic>
              </a:graphicData>
            </a:graphic>
          </wp:inline>
        </w:drawing>
      </w:r>
      <w:bookmarkStart w:id="14" w:name="_GoBack"/>
      <w:bookmarkEnd w:id="14"/>
    </w:p>
    <w:p w14:paraId="335A73B2">
      <w:pPr>
        <w:pStyle w:val="2"/>
        <w:spacing w:line="360" w:lineRule="auto"/>
        <w:jc w:val="center"/>
        <w:rPr>
          <w:rFonts w:eastAsia="Times New Roman"/>
          <w:color w:val="auto"/>
          <w:sz w:val="32"/>
          <w:szCs w:val="32"/>
        </w:rPr>
      </w:pPr>
      <w:r>
        <w:rPr>
          <w:rFonts w:eastAsia="Times New Roman"/>
          <w:color w:val="auto"/>
          <w:sz w:val="32"/>
          <w:szCs w:val="32"/>
        </w:rPr>
        <w:t>一、建设项目基本情况</w:t>
      </w:r>
    </w:p>
    <w:tbl>
      <w:tblPr>
        <w:tblStyle w:val="19"/>
        <w:tblW w:w="8912" w:type="dxa"/>
        <w:tblInd w:w="-301"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1819"/>
        <w:gridCol w:w="2199"/>
        <w:gridCol w:w="1978"/>
        <w:gridCol w:w="2916"/>
      </w:tblGrid>
      <w:tr w14:paraId="15052C6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2E2A8973">
            <w:pPr>
              <w:jc w:val="center"/>
              <w:rPr>
                <w:rFonts w:eastAsia="Times New Roman"/>
                <w:color w:val="auto"/>
                <w:sz w:val="24"/>
                <w:szCs w:val="24"/>
              </w:rPr>
            </w:pPr>
            <w:r>
              <w:rPr>
                <w:rFonts w:eastAsia="Times New Roman"/>
                <w:color w:val="auto"/>
                <w:sz w:val="24"/>
                <w:szCs w:val="24"/>
              </w:rPr>
              <w:t>建设项目名称</w:t>
            </w:r>
          </w:p>
        </w:tc>
        <w:tc>
          <w:tcPr>
            <w:tcW w:w="7093" w:type="dxa"/>
            <w:gridSpan w:val="3"/>
            <w:tcMar>
              <w:top w:w="16" w:type="dxa"/>
            </w:tcMar>
            <w:vAlign w:val="center"/>
          </w:tcPr>
          <w:p w14:paraId="2F2B8275">
            <w:pPr>
              <w:jc w:val="center"/>
              <w:rPr>
                <w:rFonts w:hint="eastAsia" w:eastAsia="Times New Roman"/>
                <w:color w:val="auto"/>
                <w:sz w:val="24"/>
                <w:szCs w:val="24"/>
                <w:lang w:val="en-US" w:eastAsia="zh-CN"/>
              </w:rPr>
            </w:pPr>
            <w:r>
              <w:rPr>
                <w:rFonts w:hint="eastAsia" w:eastAsia="Times New Roman"/>
                <w:color w:val="auto"/>
                <w:sz w:val="24"/>
                <w:szCs w:val="24"/>
                <w:lang w:val="en-US" w:eastAsia="zh-CN"/>
              </w:rPr>
              <w:t>内蒙古蒙东能源有限公司敏东一矿辅助提升及运输系统无轨化改造项目</w:t>
            </w:r>
          </w:p>
        </w:tc>
      </w:tr>
      <w:tr w14:paraId="4124C9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293425EB">
            <w:pPr>
              <w:jc w:val="center"/>
              <w:rPr>
                <w:rFonts w:eastAsia="Times New Roman"/>
                <w:color w:val="auto"/>
                <w:sz w:val="24"/>
                <w:szCs w:val="24"/>
              </w:rPr>
            </w:pPr>
            <w:r>
              <w:rPr>
                <w:rFonts w:eastAsia="Times New Roman"/>
                <w:color w:val="auto"/>
                <w:sz w:val="24"/>
                <w:szCs w:val="24"/>
              </w:rPr>
              <w:t>项目代码</w:t>
            </w:r>
          </w:p>
        </w:tc>
        <w:tc>
          <w:tcPr>
            <w:tcW w:w="7093" w:type="dxa"/>
            <w:gridSpan w:val="3"/>
            <w:tcMar>
              <w:top w:w="16" w:type="dxa"/>
            </w:tcMar>
            <w:vAlign w:val="center"/>
          </w:tcPr>
          <w:p w14:paraId="7AADCB86">
            <w:pPr>
              <w:jc w:val="center"/>
              <w:rPr>
                <w:rFonts w:hint="eastAsia" w:eastAsia="Times New Roman"/>
                <w:color w:val="auto"/>
                <w:sz w:val="24"/>
                <w:szCs w:val="24"/>
                <w:lang w:val="en-US" w:eastAsia="zh-CN"/>
              </w:rPr>
            </w:pPr>
            <w:r>
              <w:rPr>
                <w:rFonts w:hint="eastAsia" w:eastAsia="Times New Roman"/>
                <w:color w:val="auto"/>
                <w:sz w:val="24"/>
                <w:szCs w:val="24"/>
                <w:lang w:val="en-US" w:eastAsia="zh-CN"/>
              </w:rPr>
              <w:t>2407-150724-04-02-284743</w:t>
            </w:r>
          </w:p>
        </w:tc>
      </w:tr>
      <w:tr w14:paraId="56562BA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68F836D4">
            <w:pPr>
              <w:jc w:val="center"/>
              <w:rPr>
                <w:rFonts w:eastAsia="Times New Roman"/>
                <w:color w:val="auto"/>
                <w:sz w:val="24"/>
                <w:szCs w:val="24"/>
              </w:rPr>
            </w:pPr>
            <w:r>
              <w:rPr>
                <w:rFonts w:eastAsia="Times New Roman"/>
                <w:color w:val="auto"/>
                <w:sz w:val="24"/>
                <w:szCs w:val="24"/>
              </w:rPr>
              <w:t>建设单位联系人</w:t>
            </w:r>
          </w:p>
        </w:tc>
        <w:tc>
          <w:tcPr>
            <w:tcW w:w="2199" w:type="dxa"/>
            <w:tcMar>
              <w:top w:w="16" w:type="dxa"/>
            </w:tcMar>
            <w:vAlign w:val="center"/>
          </w:tcPr>
          <w:p w14:paraId="7F8F13A0">
            <w:pPr>
              <w:jc w:val="center"/>
              <w:rPr>
                <w:rFonts w:eastAsia="Times New Roman"/>
                <w:color w:val="auto"/>
                <w:sz w:val="24"/>
                <w:szCs w:val="24"/>
              </w:rPr>
            </w:pPr>
            <w:r>
              <w:rPr>
                <w:rFonts w:hint="eastAsia" w:eastAsia="Times New Roman"/>
                <w:color w:val="auto"/>
                <w:sz w:val="24"/>
                <w:szCs w:val="24"/>
              </w:rPr>
              <w:t>李恭利</w:t>
            </w:r>
          </w:p>
        </w:tc>
        <w:tc>
          <w:tcPr>
            <w:tcW w:w="1978" w:type="dxa"/>
            <w:tcMar>
              <w:top w:w="16" w:type="dxa"/>
            </w:tcMar>
            <w:vAlign w:val="center"/>
          </w:tcPr>
          <w:p w14:paraId="4BC9C3D2">
            <w:pPr>
              <w:jc w:val="center"/>
              <w:rPr>
                <w:rFonts w:eastAsia="Times New Roman"/>
                <w:color w:val="auto"/>
                <w:sz w:val="24"/>
                <w:szCs w:val="24"/>
              </w:rPr>
            </w:pPr>
            <w:r>
              <w:rPr>
                <w:rFonts w:eastAsia="Times New Roman"/>
                <w:color w:val="auto"/>
                <w:sz w:val="24"/>
                <w:szCs w:val="24"/>
              </w:rPr>
              <w:t>联系方式</w:t>
            </w:r>
          </w:p>
        </w:tc>
        <w:tc>
          <w:tcPr>
            <w:tcW w:w="2916" w:type="dxa"/>
            <w:tcMar>
              <w:top w:w="16" w:type="dxa"/>
            </w:tcMar>
            <w:vAlign w:val="center"/>
          </w:tcPr>
          <w:p w14:paraId="3AB18822">
            <w:pPr>
              <w:jc w:val="center"/>
              <w:rPr>
                <w:rFonts w:eastAsia="Times New Roman"/>
                <w:color w:val="auto"/>
                <w:sz w:val="24"/>
                <w:szCs w:val="24"/>
              </w:rPr>
            </w:pPr>
            <w:r>
              <w:rPr>
                <w:rFonts w:hint="eastAsia" w:eastAsia="Times New Roman"/>
                <w:color w:val="auto"/>
                <w:sz w:val="24"/>
                <w:szCs w:val="24"/>
              </w:rPr>
              <w:t>13948099296</w:t>
            </w:r>
          </w:p>
        </w:tc>
      </w:tr>
      <w:tr w14:paraId="21A8CD4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424C696A">
            <w:pPr>
              <w:keepNext w:val="0"/>
              <w:keepLines w:val="0"/>
              <w:widowControl/>
              <w:suppressLineNumbers w:val="0"/>
              <w:jc w:val="center"/>
              <w:rPr>
                <w:rFonts w:hint="eastAsia"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建设地点</w:t>
            </w:r>
          </w:p>
        </w:tc>
        <w:tc>
          <w:tcPr>
            <w:tcW w:w="7093" w:type="dxa"/>
            <w:gridSpan w:val="3"/>
            <w:tcMar>
              <w:top w:w="16" w:type="dxa"/>
            </w:tcMar>
            <w:vAlign w:val="center"/>
          </w:tcPr>
          <w:p w14:paraId="44D7631C">
            <w:pPr>
              <w:jc w:val="center"/>
              <w:rPr>
                <w:rFonts w:hint="eastAsia" w:eastAsia="Times New Roman"/>
                <w:color w:val="auto"/>
                <w:sz w:val="24"/>
                <w:szCs w:val="24"/>
                <w:lang w:val="en-US" w:eastAsia="zh-CN"/>
              </w:rPr>
            </w:pPr>
            <w:r>
              <w:rPr>
                <w:rFonts w:hint="eastAsia" w:ascii="Times New Roman" w:hAnsi="Times New Roman" w:eastAsia="Times New Roman" w:cs="Times New Roman"/>
                <w:color w:val="auto"/>
                <w:sz w:val="24"/>
              </w:rPr>
              <w:t>呼伦贝尔市鄂温克族自治旗</w:t>
            </w:r>
            <w:r>
              <w:rPr>
                <w:rFonts w:hint="eastAsia" w:eastAsia="Times New Roman"/>
                <w:color w:val="auto"/>
                <w:sz w:val="24"/>
                <w:szCs w:val="24"/>
                <w:lang w:val="en-US" w:eastAsia="zh-CN"/>
              </w:rPr>
              <w:t>锡尼河东苏木敏东一矿工业场地内</w:t>
            </w:r>
          </w:p>
        </w:tc>
      </w:tr>
      <w:tr w14:paraId="6E4AB66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7AC0EA74">
            <w:pPr>
              <w:jc w:val="center"/>
              <w:rPr>
                <w:rFonts w:eastAsia="Times New Roman"/>
                <w:color w:val="auto"/>
                <w:sz w:val="24"/>
                <w:szCs w:val="24"/>
              </w:rPr>
            </w:pPr>
            <w:r>
              <w:rPr>
                <w:rFonts w:eastAsia="Times New Roman"/>
                <w:color w:val="auto"/>
                <w:sz w:val="24"/>
                <w:szCs w:val="24"/>
              </w:rPr>
              <w:t>地理坐标</w:t>
            </w:r>
          </w:p>
        </w:tc>
        <w:tc>
          <w:tcPr>
            <w:tcW w:w="7093" w:type="dxa"/>
            <w:gridSpan w:val="3"/>
            <w:tcMar>
              <w:top w:w="16" w:type="dxa"/>
            </w:tcMar>
            <w:vAlign w:val="center"/>
          </w:tcPr>
          <w:p w14:paraId="1B58E015">
            <w:pPr>
              <w:jc w:val="center"/>
              <w:rPr>
                <w:rFonts w:eastAsia="Times New Roman"/>
                <w:color w:val="auto"/>
                <w:sz w:val="24"/>
                <w:szCs w:val="24"/>
              </w:rPr>
            </w:pPr>
            <w:r>
              <w:rPr>
                <w:rFonts w:eastAsia="Times New Roman"/>
                <w:color w:val="auto"/>
                <w:sz w:val="24"/>
                <w:szCs w:val="24"/>
              </w:rPr>
              <w:t>（</w:t>
            </w:r>
            <w:r>
              <w:rPr>
                <w:rFonts w:hint="eastAsia" w:eastAsia="宋体"/>
                <w:color w:val="auto"/>
                <w:sz w:val="24"/>
                <w:szCs w:val="24"/>
                <w:lang w:val="en-US" w:eastAsia="zh-CN"/>
              </w:rPr>
              <w:t>119</w:t>
            </w:r>
            <w:r>
              <w:rPr>
                <w:rFonts w:eastAsia="Times New Roman"/>
                <w:color w:val="auto"/>
                <w:sz w:val="24"/>
                <w:szCs w:val="24"/>
              </w:rPr>
              <w:t>度</w:t>
            </w:r>
            <w:r>
              <w:rPr>
                <w:rFonts w:hint="eastAsia" w:eastAsia="Times New Roman"/>
                <w:color w:val="auto"/>
                <w:sz w:val="24"/>
                <w:szCs w:val="24"/>
                <w:lang w:val="en-US" w:eastAsia="zh-CN"/>
              </w:rPr>
              <w:t>56</w:t>
            </w:r>
            <w:r>
              <w:rPr>
                <w:rFonts w:eastAsia="Times New Roman"/>
                <w:color w:val="auto"/>
                <w:sz w:val="24"/>
                <w:szCs w:val="24"/>
              </w:rPr>
              <w:t>分</w:t>
            </w:r>
            <w:r>
              <w:rPr>
                <w:rFonts w:hint="eastAsia" w:eastAsia="宋体"/>
                <w:color w:val="auto"/>
                <w:sz w:val="24"/>
                <w:szCs w:val="24"/>
                <w:lang w:val="en-US" w:eastAsia="zh-CN"/>
              </w:rPr>
              <w:t>4</w:t>
            </w:r>
            <w:r>
              <w:rPr>
                <w:rFonts w:hint="eastAsia"/>
                <w:color w:val="auto"/>
                <w:sz w:val="24"/>
                <w:szCs w:val="24"/>
                <w:lang w:val="en-US" w:eastAsia="zh-CN"/>
              </w:rPr>
              <w:t>7.203</w:t>
            </w:r>
            <w:r>
              <w:rPr>
                <w:rFonts w:eastAsia="Times New Roman"/>
                <w:color w:val="auto"/>
                <w:sz w:val="24"/>
                <w:szCs w:val="24"/>
              </w:rPr>
              <w:t>秒，</w:t>
            </w:r>
            <w:r>
              <w:rPr>
                <w:rFonts w:hint="eastAsia" w:eastAsia="宋体"/>
                <w:color w:val="auto"/>
                <w:sz w:val="24"/>
                <w:szCs w:val="24"/>
                <w:lang w:val="en-US" w:eastAsia="zh-CN"/>
              </w:rPr>
              <w:t>48</w:t>
            </w:r>
            <w:r>
              <w:rPr>
                <w:rFonts w:eastAsia="Times New Roman"/>
                <w:color w:val="auto"/>
                <w:sz w:val="24"/>
                <w:szCs w:val="24"/>
              </w:rPr>
              <w:t>度</w:t>
            </w:r>
            <w:r>
              <w:rPr>
                <w:rFonts w:hint="eastAsia" w:eastAsia="Times New Roman"/>
                <w:color w:val="auto"/>
                <w:sz w:val="24"/>
                <w:szCs w:val="24"/>
              </w:rPr>
              <w:t>4</w:t>
            </w:r>
            <w:r>
              <w:rPr>
                <w:rFonts w:hint="eastAsia" w:eastAsia="Times New Roman"/>
                <w:color w:val="auto"/>
                <w:sz w:val="24"/>
                <w:szCs w:val="24"/>
                <w:lang w:val="en-US" w:eastAsia="zh-CN"/>
              </w:rPr>
              <w:t>6</w:t>
            </w:r>
            <w:r>
              <w:rPr>
                <w:rFonts w:eastAsia="Times New Roman"/>
                <w:color w:val="auto"/>
                <w:sz w:val="24"/>
                <w:szCs w:val="24"/>
              </w:rPr>
              <w:t>分</w:t>
            </w:r>
            <w:r>
              <w:rPr>
                <w:rFonts w:hint="eastAsia" w:eastAsia="Times New Roman"/>
                <w:color w:val="auto"/>
                <w:sz w:val="24"/>
                <w:szCs w:val="24"/>
                <w:lang w:val="en-US" w:eastAsia="zh-CN"/>
              </w:rPr>
              <w:t>1.729</w:t>
            </w:r>
            <w:r>
              <w:rPr>
                <w:rFonts w:eastAsia="Times New Roman"/>
                <w:color w:val="auto"/>
                <w:sz w:val="24"/>
                <w:szCs w:val="24"/>
              </w:rPr>
              <w:t>秒）</w:t>
            </w:r>
          </w:p>
        </w:tc>
      </w:tr>
      <w:tr w14:paraId="04C5DD7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253CA6DE">
            <w:pPr>
              <w:jc w:val="center"/>
              <w:rPr>
                <w:rFonts w:hint="eastAsia" w:eastAsia="Times New Roman"/>
                <w:color w:val="auto"/>
                <w:sz w:val="24"/>
                <w:szCs w:val="24"/>
                <w:lang w:val="en-US" w:eastAsia="zh-CN"/>
              </w:rPr>
            </w:pPr>
            <w:r>
              <w:rPr>
                <w:rFonts w:hint="eastAsia" w:eastAsia="Times New Roman"/>
                <w:color w:val="auto"/>
                <w:sz w:val="24"/>
                <w:szCs w:val="24"/>
                <w:lang w:val="en-US" w:eastAsia="zh-CN"/>
              </w:rPr>
              <w:t>建设项目</w:t>
            </w:r>
          </w:p>
          <w:p w14:paraId="0E8393BB">
            <w:pPr>
              <w:jc w:val="center"/>
              <w:rPr>
                <w:rFonts w:hint="eastAsia" w:eastAsia="Times New Roman"/>
                <w:color w:val="auto"/>
                <w:sz w:val="24"/>
                <w:szCs w:val="24"/>
                <w:lang w:val="en-US" w:eastAsia="zh-CN"/>
              </w:rPr>
            </w:pPr>
            <w:r>
              <w:rPr>
                <w:rFonts w:hint="eastAsia" w:eastAsia="Times New Roman"/>
                <w:color w:val="auto"/>
                <w:sz w:val="24"/>
                <w:szCs w:val="24"/>
                <w:lang w:val="en-US" w:eastAsia="zh-CN"/>
              </w:rPr>
              <w:t>行业类别</w:t>
            </w:r>
          </w:p>
        </w:tc>
        <w:tc>
          <w:tcPr>
            <w:tcW w:w="2199" w:type="dxa"/>
            <w:tcMar>
              <w:top w:w="16" w:type="dxa"/>
            </w:tcMar>
            <w:vAlign w:val="center"/>
          </w:tcPr>
          <w:p w14:paraId="6AD48B66">
            <w:pPr>
              <w:jc w:val="center"/>
              <w:rPr>
                <w:rFonts w:hint="eastAsia" w:eastAsia="Times New Roman"/>
                <w:color w:val="auto"/>
                <w:sz w:val="24"/>
                <w:szCs w:val="24"/>
                <w:lang w:val="en-US" w:eastAsia="zh-CN"/>
              </w:rPr>
            </w:pPr>
            <w:r>
              <w:rPr>
                <w:rFonts w:hint="eastAsia" w:eastAsia="Times New Roman"/>
                <w:color w:val="auto"/>
                <w:sz w:val="24"/>
                <w:szCs w:val="24"/>
                <w:lang w:val="en-US" w:eastAsia="zh-CN"/>
              </w:rPr>
              <w:t xml:space="preserve">四、煤炭开采和洗选业06风井场地、瓦斯抽放站；矿区修复治理工程（含煤矿火 </w:t>
            </w:r>
          </w:p>
          <w:p w14:paraId="6E4EBEA2">
            <w:pPr>
              <w:jc w:val="center"/>
              <w:rPr>
                <w:rFonts w:hint="eastAsia" w:eastAsia="Times New Roman"/>
                <w:color w:val="auto"/>
                <w:sz w:val="24"/>
                <w:szCs w:val="24"/>
                <w:lang w:val="en-US" w:eastAsia="zh-CN"/>
              </w:rPr>
            </w:pPr>
            <w:r>
              <w:rPr>
                <w:rFonts w:hint="eastAsia" w:eastAsia="Times New Roman"/>
                <w:color w:val="auto"/>
                <w:sz w:val="24"/>
                <w:szCs w:val="24"/>
                <w:lang w:val="en-US" w:eastAsia="zh-CN"/>
              </w:rPr>
              <w:t>烧区治理工程）</w:t>
            </w:r>
          </w:p>
        </w:tc>
        <w:tc>
          <w:tcPr>
            <w:tcW w:w="1978" w:type="dxa"/>
            <w:tcMar>
              <w:top w:w="16" w:type="dxa"/>
            </w:tcMar>
            <w:vAlign w:val="center"/>
          </w:tcPr>
          <w:p w14:paraId="362DD88F">
            <w:pPr>
              <w:jc w:val="center"/>
              <w:rPr>
                <w:rFonts w:eastAsia="Times New Roman"/>
                <w:color w:val="auto"/>
                <w:sz w:val="24"/>
                <w:szCs w:val="24"/>
              </w:rPr>
            </w:pPr>
            <w:r>
              <w:rPr>
                <w:rFonts w:eastAsia="Times New Roman"/>
                <w:color w:val="auto"/>
                <w:sz w:val="24"/>
                <w:szCs w:val="24"/>
              </w:rPr>
              <w:t>用地（用海）面积（m</w:t>
            </w:r>
            <w:r>
              <w:rPr>
                <w:rFonts w:eastAsia="Times New Roman"/>
                <w:color w:val="auto"/>
                <w:sz w:val="24"/>
                <w:szCs w:val="24"/>
                <w:vertAlign w:val="superscript"/>
              </w:rPr>
              <w:t>2</w:t>
            </w:r>
            <w:r>
              <w:rPr>
                <w:rFonts w:eastAsia="Times New Roman"/>
                <w:color w:val="auto"/>
                <w:sz w:val="24"/>
                <w:szCs w:val="24"/>
              </w:rPr>
              <w:t>）/长度（km）</w:t>
            </w:r>
          </w:p>
        </w:tc>
        <w:tc>
          <w:tcPr>
            <w:tcW w:w="2916" w:type="dxa"/>
            <w:tcMar>
              <w:top w:w="16" w:type="dxa"/>
            </w:tcMar>
            <w:vAlign w:val="center"/>
          </w:tcPr>
          <w:p w14:paraId="3325AA5C">
            <w:pPr>
              <w:jc w:val="center"/>
              <w:rPr>
                <w:color w:val="auto"/>
                <w:sz w:val="24"/>
                <w:szCs w:val="24"/>
              </w:rPr>
            </w:pPr>
            <w:r>
              <w:rPr>
                <w:color w:val="auto"/>
                <w:sz w:val="24"/>
              </w:rPr>
              <w:t>3253.4</w:t>
            </w:r>
            <w:r>
              <w:rPr>
                <w:rFonts w:hint="eastAsia"/>
                <w:color w:val="auto"/>
                <w:sz w:val="24"/>
              </w:rPr>
              <w:t>m</w:t>
            </w:r>
            <w:r>
              <w:rPr>
                <w:rFonts w:hint="eastAsia"/>
                <w:color w:val="auto"/>
                <w:sz w:val="24"/>
                <w:vertAlign w:val="superscript"/>
              </w:rPr>
              <w:t>2</w:t>
            </w:r>
          </w:p>
        </w:tc>
      </w:tr>
      <w:tr w14:paraId="09A85DC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731EDA7C">
            <w:pPr>
              <w:jc w:val="center"/>
              <w:rPr>
                <w:rFonts w:eastAsia="Times New Roman"/>
                <w:color w:val="auto"/>
                <w:sz w:val="24"/>
                <w:szCs w:val="24"/>
              </w:rPr>
            </w:pPr>
            <w:r>
              <w:rPr>
                <w:rFonts w:eastAsia="Times New Roman"/>
                <w:color w:val="auto"/>
                <w:sz w:val="24"/>
                <w:szCs w:val="24"/>
              </w:rPr>
              <w:t>建设性质</w:t>
            </w:r>
          </w:p>
        </w:tc>
        <w:tc>
          <w:tcPr>
            <w:tcW w:w="2199" w:type="dxa"/>
            <w:tcMar>
              <w:top w:w="16" w:type="dxa"/>
            </w:tcMar>
            <w:vAlign w:val="center"/>
          </w:tcPr>
          <w:p w14:paraId="60708E12">
            <w:pPr>
              <w:rPr>
                <w:rFonts w:eastAsia="Times New Roman"/>
                <w:color w:val="auto"/>
                <w:sz w:val="24"/>
                <w:szCs w:val="24"/>
              </w:rPr>
            </w:pPr>
            <w:r>
              <w:rPr>
                <w:rFonts w:hint="eastAsia" w:eastAsia="宋体"/>
                <w:color w:val="auto"/>
                <w:sz w:val="24"/>
                <w:szCs w:val="24"/>
                <w:lang w:eastAsia="zh-CN"/>
              </w:rPr>
              <w:t>□</w:t>
            </w:r>
            <w:r>
              <w:rPr>
                <w:rFonts w:eastAsia="Times New Roman"/>
                <w:color w:val="auto"/>
                <w:sz w:val="24"/>
                <w:szCs w:val="24"/>
              </w:rPr>
              <w:t>新建（迁建）</w:t>
            </w:r>
          </w:p>
          <w:p w14:paraId="1C2D8C97">
            <w:pPr>
              <w:rPr>
                <w:rFonts w:eastAsia="Times New Roman"/>
                <w:color w:val="auto"/>
                <w:sz w:val="24"/>
                <w:szCs w:val="24"/>
              </w:rPr>
            </w:pPr>
            <w:r>
              <w:rPr>
                <w:rFonts w:hint="eastAsia"/>
                <w:color w:val="auto"/>
                <w:sz w:val="24"/>
                <w:szCs w:val="24"/>
                <w:lang w:eastAsia="zh-CN"/>
              </w:rPr>
              <w:t>□</w:t>
            </w:r>
            <w:r>
              <w:rPr>
                <w:rFonts w:eastAsia="Times New Roman"/>
                <w:color w:val="auto"/>
                <w:sz w:val="24"/>
                <w:szCs w:val="24"/>
              </w:rPr>
              <w:t>改建</w:t>
            </w:r>
          </w:p>
          <w:p w14:paraId="16870E9A">
            <w:pPr>
              <w:rPr>
                <w:rFonts w:eastAsia="Times New Roman"/>
                <w:color w:val="auto"/>
                <w:sz w:val="24"/>
                <w:szCs w:val="24"/>
              </w:rPr>
            </w:pPr>
            <w:r>
              <w:rPr>
                <w:rFonts w:hint="eastAsia" w:eastAsia="宋体"/>
                <w:color w:val="auto"/>
                <w:sz w:val="24"/>
                <w:szCs w:val="24"/>
                <w:lang w:eastAsia="zh-CN"/>
              </w:rPr>
              <w:t>□</w:t>
            </w:r>
            <w:r>
              <w:rPr>
                <w:rFonts w:eastAsia="Times New Roman"/>
                <w:color w:val="auto"/>
                <w:sz w:val="24"/>
                <w:szCs w:val="24"/>
              </w:rPr>
              <w:t>扩建</w:t>
            </w:r>
          </w:p>
          <w:p w14:paraId="5BA3D97C">
            <w:pPr>
              <w:rPr>
                <w:rFonts w:eastAsia="Times New Roman"/>
                <w:color w:val="auto"/>
                <w:sz w:val="24"/>
                <w:szCs w:val="24"/>
              </w:rPr>
            </w:pPr>
            <w:r>
              <w:rPr>
                <w:rFonts w:hint="eastAsia"/>
                <w:color w:val="auto"/>
                <w:sz w:val="24"/>
                <w:szCs w:val="24"/>
                <w:lang w:eastAsia="zh-CN"/>
              </w:rPr>
              <w:t>☑</w:t>
            </w:r>
            <w:r>
              <w:rPr>
                <w:rFonts w:eastAsia="Times New Roman"/>
                <w:color w:val="auto"/>
                <w:sz w:val="24"/>
                <w:szCs w:val="24"/>
              </w:rPr>
              <w:t>技术改造</w:t>
            </w:r>
          </w:p>
        </w:tc>
        <w:tc>
          <w:tcPr>
            <w:tcW w:w="1978" w:type="dxa"/>
            <w:tcMar>
              <w:top w:w="16" w:type="dxa"/>
            </w:tcMar>
            <w:vAlign w:val="center"/>
          </w:tcPr>
          <w:p w14:paraId="19FC5B36">
            <w:pPr>
              <w:jc w:val="center"/>
              <w:rPr>
                <w:rFonts w:eastAsia="Times New Roman"/>
                <w:color w:val="auto"/>
                <w:sz w:val="24"/>
                <w:szCs w:val="24"/>
              </w:rPr>
            </w:pPr>
            <w:r>
              <w:rPr>
                <w:rFonts w:eastAsia="Times New Roman"/>
                <w:color w:val="auto"/>
                <w:sz w:val="24"/>
                <w:szCs w:val="24"/>
              </w:rPr>
              <w:t>建设项目</w:t>
            </w:r>
          </w:p>
          <w:p w14:paraId="75DBE592">
            <w:pPr>
              <w:jc w:val="center"/>
              <w:rPr>
                <w:rFonts w:eastAsia="Times New Roman"/>
                <w:color w:val="auto"/>
                <w:sz w:val="24"/>
                <w:szCs w:val="24"/>
              </w:rPr>
            </w:pPr>
            <w:r>
              <w:rPr>
                <w:rFonts w:eastAsia="Times New Roman"/>
                <w:color w:val="auto"/>
                <w:sz w:val="24"/>
                <w:szCs w:val="24"/>
              </w:rPr>
              <w:t>申报情形</w:t>
            </w:r>
          </w:p>
        </w:tc>
        <w:tc>
          <w:tcPr>
            <w:tcW w:w="2916" w:type="dxa"/>
            <w:tcMar>
              <w:top w:w="16" w:type="dxa"/>
            </w:tcMar>
            <w:vAlign w:val="center"/>
          </w:tcPr>
          <w:p w14:paraId="51C5ACBA">
            <w:pPr>
              <w:rPr>
                <w:rFonts w:eastAsia="Times New Roman"/>
                <w:color w:val="auto"/>
                <w:sz w:val="24"/>
                <w:szCs w:val="24"/>
              </w:rPr>
            </w:pPr>
            <w:r>
              <w:rPr>
                <w:rFonts w:eastAsia="Times New Roman"/>
                <w:color w:val="auto"/>
                <w:sz w:val="24"/>
                <w:szCs w:val="24"/>
              </w:rPr>
              <w:t>■首次申报项目</w:t>
            </w:r>
          </w:p>
          <w:p w14:paraId="7444BB64">
            <w:pPr>
              <w:rPr>
                <w:rFonts w:eastAsia="Times New Roman"/>
                <w:color w:val="auto"/>
                <w:sz w:val="24"/>
                <w:szCs w:val="24"/>
              </w:rPr>
            </w:pPr>
            <w:r>
              <w:rPr>
                <w:rFonts w:eastAsia="Times New Roman"/>
                <w:color w:val="auto"/>
                <w:sz w:val="24"/>
                <w:szCs w:val="24"/>
              </w:rPr>
              <w:t>□不予批准后再次申报项目</w:t>
            </w:r>
          </w:p>
          <w:p w14:paraId="2E535E5A">
            <w:pPr>
              <w:rPr>
                <w:rFonts w:eastAsia="Times New Roman"/>
                <w:color w:val="auto"/>
                <w:sz w:val="24"/>
                <w:szCs w:val="24"/>
              </w:rPr>
            </w:pPr>
            <w:r>
              <w:rPr>
                <w:rFonts w:eastAsia="Times New Roman"/>
                <w:color w:val="auto"/>
                <w:sz w:val="24"/>
                <w:szCs w:val="24"/>
              </w:rPr>
              <w:t>□超五年重新审核项目</w:t>
            </w:r>
          </w:p>
          <w:p w14:paraId="55FD2CD2">
            <w:pPr>
              <w:rPr>
                <w:rFonts w:eastAsia="Times New Roman"/>
                <w:color w:val="auto"/>
                <w:sz w:val="24"/>
                <w:szCs w:val="24"/>
              </w:rPr>
            </w:pPr>
            <w:r>
              <w:rPr>
                <w:rFonts w:eastAsia="Times New Roman"/>
                <w:color w:val="auto"/>
                <w:sz w:val="24"/>
                <w:szCs w:val="24"/>
              </w:rPr>
              <w:t>□重大变动重新报批项目</w:t>
            </w:r>
          </w:p>
        </w:tc>
      </w:tr>
      <w:tr w14:paraId="30091DE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7D7BEA7D">
            <w:pPr>
              <w:jc w:val="center"/>
              <w:rPr>
                <w:rFonts w:eastAsia="Times New Roman"/>
                <w:color w:val="auto"/>
                <w:sz w:val="24"/>
                <w:szCs w:val="24"/>
              </w:rPr>
            </w:pPr>
            <w:r>
              <w:rPr>
                <w:rFonts w:eastAsia="Times New Roman"/>
                <w:color w:val="auto"/>
                <w:sz w:val="24"/>
                <w:szCs w:val="24"/>
              </w:rPr>
              <w:t>项目审批（核准/</w:t>
            </w:r>
          </w:p>
          <w:p w14:paraId="5C21D464">
            <w:pPr>
              <w:jc w:val="center"/>
              <w:rPr>
                <w:rFonts w:eastAsia="Times New Roman"/>
                <w:color w:val="auto"/>
                <w:sz w:val="24"/>
                <w:szCs w:val="24"/>
              </w:rPr>
            </w:pPr>
            <w:r>
              <w:rPr>
                <w:rFonts w:eastAsia="Times New Roman"/>
                <w:color w:val="auto"/>
                <w:sz w:val="24"/>
                <w:szCs w:val="24"/>
              </w:rPr>
              <w:t>备案）部门（选填）</w:t>
            </w:r>
          </w:p>
        </w:tc>
        <w:tc>
          <w:tcPr>
            <w:tcW w:w="2199" w:type="dxa"/>
            <w:tcMar>
              <w:top w:w="16" w:type="dxa"/>
            </w:tcMar>
            <w:vAlign w:val="center"/>
          </w:tcPr>
          <w:p w14:paraId="5E4D945B">
            <w:pPr>
              <w:jc w:val="center"/>
              <w:rPr>
                <w:rFonts w:hint="eastAsia" w:eastAsia="宋体"/>
                <w:color w:val="auto"/>
                <w:sz w:val="24"/>
                <w:szCs w:val="24"/>
                <w:lang w:eastAsia="zh-CN"/>
              </w:rPr>
            </w:pPr>
            <w:r>
              <w:rPr>
                <w:rFonts w:hint="eastAsia"/>
                <w:color w:val="auto"/>
                <w:sz w:val="24"/>
                <w:szCs w:val="24"/>
                <w:lang w:eastAsia="zh-CN"/>
              </w:rPr>
              <w:t>鄂温克族自治旗发展和改革委员会</w:t>
            </w:r>
          </w:p>
        </w:tc>
        <w:tc>
          <w:tcPr>
            <w:tcW w:w="1978" w:type="dxa"/>
            <w:tcMar>
              <w:top w:w="16" w:type="dxa"/>
            </w:tcMar>
            <w:vAlign w:val="center"/>
          </w:tcPr>
          <w:p w14:paraId="7A7CCFF6">
            <w:pPr>
              <w:jc w:val="center"/>
              <w:rPr>
                <w:rFonts w:eastAsia="Times New Roman"/>
                <w:color w:val="auto"/>
                <w:sz w:val="24"/>
                <w:szCs w:val="24"/>
              </w:rPr>
            </w:pPr>
            <w:r>
              <w:rPr>
                <w:rFonts w:eastAsia="Times New Roman"/>
                <w:color w:val="auto"/>
                <w:sz w:val="24"/>
                <w:szCs w:val="24"/>
              </w:rPr>
              <w:t>项目审批（核准/</w:t>
            </w:r>
          </w:p>
          <w:p w14:paraId="4F464A3B">
            <w:pPr>
              <w:jc w:val="center"/>
              <w:rPr>
                <w:rFonts w:eastAsia="Times New Roman"/>
                <w:color w:val="auto"/>
                <w:sz w:val="24"/>
                <w:szCs w:val="24"/>
              </w:rPr>
            </w:pPr>
            <w:r>
              <w:rPr>
                <w:rFonts w:eastAsia="Times New Roman"/>
                <w:color w:val="auto"/>
                <w:sz w:val="24"/>
                <w:szCs w:val="24"/>
              </w:rPr>
              <w:t>备案）文号（选填）</w:t>
            </w:r>
          </w:p>
        </w:tc>
        <w:tc>
          <w:tcPr>
            <w:tcW w:w="2916" w:type="dxa"/>
            <w:tcMar>
              <w:top w:w="16" w:type="dxa"/>
            </w:tcMar>
            <w:vAlign w:val="center"/>
          </w:tcPr>
          <w:p w14:paraId="22A67288">
            <w:pPr>
              <w:jc w:val="center"/>
              <w:rPr>
                <w:rFonts w:hint="default"/>
                <w:color w:val="auto"/>
                <w:sz w:val="24"/>
                <w:szCs w:val="24"/>
                <w:lang w:val="en-US" w:eastAsia="zh-CN"/>
              </w:rPr>
            </w:pPr>
            <w:r>
              <w:rPr>
                <w:rFonts w:hint="eastAsia"/>
                <w:color w:val="auto"/>
                <w:sz w:val="24"/>
                <w:szCs w:val="24"/>
                <w:lang w:val="en-US" w:eastAsia="zh-CN"/>
              </w:rPr>
              <w:t>/</w:t>
            </w:r>
          </w:p>
        </w:tc>
      </w:tr>
      <w:tr w14:paraId="62F010A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2D3F32D2">
            <w:pPr>
              <w:jc w:val="center"/>
              <w:rPr>
                <w:rFonts w:eastAsia="Times New Roman"/>
                <w:color w:val="auto"/>
                <w:sz w:val="24"/>
                <w:szCs w:val="24"/>
              </w:rPr>
            </w:pPr>
            <w:r>
              <w:rPr>
                <w:rFonts w:eastAsia="Times New Roman"/>
                <w:color w:val="auto"/>
                <w:sz w:val="24"/>
                <w:szCs w:val="24"/>
              </w:rPr>
              <w:t>总投资（万元）</w:t>
            </w:r>
          </w:p>
        </w:tc>
        <w:tc>
          <w:tcPr>
            <w:tcW w:w="2199" w:type="dxa"/>
            <w:tcMar>
              <w:top w:w="16" w:type="dxa"/>
            </w:tcMar>
            <w:vAlign w:val="center"/>
          </w:tcPr>
          <w:p w14:paraId="4D7FBA6E">
            <w:pPr>
              <w:jc w:val="center"/>
              <w:rPr>
                <w:rFonts w:hint="default" w:eastAsia="宋体"/>
                <w:color w:val="auto"/>
                <w:sz w:val="24"/>
                <w:szCs w:val="24"/>
                <w:lang w:val="en-US" w:eastAsia="zh-CN"/>
              </w:rPr>
            </w:pPr>
            <w:r>
              <w:rPr>
                <w:rFonts w:hint="eastAsia"/>
                <w:color w:val="auto"/>
                <w:sz w:val="24"/>
                <w:szCs w:val="24"/>
                <w:lang w:val="en-US" w:eastAsia="zh-CN"/>
              </w:rPr>
              <w:t>44319.03</w:t>
            </w:r>
          </w:p>
        </w:tc>
        <w:tc>
          <w:tcPr>
            <w:tcW w:w="1978" w:type="dxa"/>
            <w:tcMar>
              <w:top w:w="16" w:type="dxa"/>
              <w:left w:w="16" w:type="dxa"/>
              <w:right w:w="16" w:type="dxa"/>
            </w:tcMar>
            <w:vAlign w:val="center"/>
          </w:tcPr>
          <w:p w14:paraId="6B14EF37">
            <w:pPr>
              <w:jc w:val="center"/>
              <w:rPr>
                <w:rFonts w:eastAsia="Times New Roman"/>
                <w:color w:val="auto"/>
                <w:sz w:val="24"/>
                <w:szCs w:val="24"/>
              </w:rPr>
            </w:pPr>
            <w:r>
              <w:rPr>
                <w:rFonts w:eastAsia="Times New Roman"/>
                <w:color w:val="auto"/>
                <w:sz w:val="24"/>
                <w:szCs w:val="24"/>
              </w:rPr>
              <w:t>环保投资（万元）</w:t>
            </w:r>
          </w:p>
        </w:tc>
        <w:tc>
          <w:tcPr>
            <w:tcW w:w="2916" w:type="dxa"/>
            <w:tcMar>
              <w:top w:w="16" w:type="dxa"/>
            </w:tcMar>
            <w:vAlign w:val="center"/>
          </w:tcPr>
          <w:p w14:paraId="67B37A8B">
            <w:pPr>
              <w:jc w:val="center"/>
              <w:rPr>
                <w:rFonts w:hint="default"/>
                <w:color w:val="auto"/>
                <w:sz w:val="24"/>
                <w:szCs w:val="24"/>
                <w:lang w:val="en-US" w:eastAsia="zh-CN"/>
              </w:rPr>
            </w:pPr>
            <w:r>
              <w:rPr>
                <w:rFonts w:hint="eastAsia"/>
                <w:color w:val="auto"/>
                <w:sz w:val="24"/>
                <w:szCs w:val="24"/>
                <w:lang w:val="en-US" w:eastAsia="zh-CN"/>
              </w:rPr>
              <w:t>1350</w:t>
            </w:r>
          </w:p>
        </w:tc>
      </w:tr>
      <w:tr w14:paraId="3262185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364E7455">
            <w:pPr>
              <w:jc w:val="center"/>
              <w:rPr>
                <w:rFonts w:eastAsia="Times New Roman"/>
                <w:color w:val="auto"/>
                <w:sz w:val="24"/>
                <w:szCs w:val="24"/>
              </w:rPr>
            </w:pPr>
            <w:r>
              <w:rPr>
                <w:rFonts w:eastAsia="Times New Roman"/>
                <w:color w:val="auto"/>
                <w:sz w:val="24"/>
                <w:szCs w:val="24"/>
              </w:rPr>
              <w:t>环保投资占比（%）</w:t>
            </w:r>
          </w:p>
        </w:tc>
        <w:tc>
          <w:tcPr>
            <w:tcW w:w="2199" w:type="dxa"/>
            <w:tcMar>
              <w:top w:w="16" w:type="dxa"/>
            </w:tcMar>
            <w:vAlign w:val="center"/>
          </w:tcPr>
          <w:p w14:paraId="01F9C7EB">
            <w:pPr>
              <w:jc w:val="center"/>
              <w:rPr>
                <w:rFonts w:hint="default" w:eastAsia="宋体"/>
                <w:color w:val="auto"/>
                <w:sz w:val="24"/>
                <w:szCs w:val="24"/>
                <w:lang w:val="en-US" w:eastAsia="zh-CN"/>
              </w:rPr>
            </w:pPr>
            <w:r>
              <w:rPr>
                <w:rFonts w:hint="eastAsia"/>
                <w:color w:val="auto"/>
                <w:sz w:val="24"/>
                <w:szCs w:val="24"/>
                <w:lang w:val="en-US" w:eastAsia="zh-CN"/>
              </w:rPr>
              <w:t>3.05</w:t>
            </w:r>
          </w:p>
        </w:tc>
        <w:tc>
          <w:tcPr>
            <w:tcW w:w="1978" w:type="dxa"/>
            <w:tcMar>
              <w:top w:w="16" w:type="dxa"/>
              <w:left w:w="16" w:type="dxa"/>
              <w:right w:w="16" w:type="dxa"/>
            </w:tcMar>
            <w:vAlign w:val="center"/>
          </w:tcPr>
          <w:p w14:paraId="55F16F0F">
            <w:pPr>
              <w:jc w:val="center"/>
              <w:rPr>
                <w:rFonts w:eastAsia="Times New Roman"/>
                <w:color w:val="auto"/>
                <w:sz w:val="24"/>
                <w:szCs w:val="24"/>
              </w:rPr>
            </w:pPr>
            <w:r>
              <w:rPr>
                <w:rFonts w:eastAsia="Times New Roman"/>
                <w:color w:val="auto"/>
                <w:sz w:val="24"/>
                <w:szCs w:val="24"/>
              </w:rPr>
              <w:t>施工工期</w:t>
            </w:r>
          </w:p>
        </w:tc>
        <w:tc>
          <w:tcPr>
            <w:tcW w:w="2916" w:type="dxa"/>
            <w:tcMar>
              <w:top w:w="16" w:type="dxa"/>
            </w:tcMar>
            <w:vAlign w:val="center"/>
          </w:tcPr>
          <w:p w14:paraId="25C74EC5">
            <w:pPr>
              <w:jc w:val="center"/>
              <w:rPr>
                <w:rFonts w:hint="default"/>
                <w:color w:val="auto"/>
                <w:sz w:val="24"/>
                <w:szCs w:val="24"/>
                <w:lang w:val="en-US" w:eastAsia="zh-CN"/>
              </w:rPr>
            </w:pPr>
            <w:r>
              <w:rPr>
                <w:rFonts w:hint="eastAsia"/>
                <w:color w:val="auto"/>
                <w:sz w:val="24"/>
                <w:szCs w:val="24"/>
                <w:lang w:val="en-US" w:eastAsia="zh-CN"/>
              </w:rPr>
              <w:t>16个月</w:t>
            </w:r>
          </w:p>
        </w:tc>
      </w:tr>
      <w:tr w14:paraId="4B2A83D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7D9F01D6">
            <w:pPr>
              <w:jc w:val="center"/>
              <w:rPr>
                <w:rFonts w:eastAsia="Times New Roman"/>
                <w:color w:val="auto"/>
                <w:sz w:val="24"/>
                <w:szCs w:val="24"/>
              </w:rPr>
            </w:pPr>
            <w:r>
              <w:rPr>
                <w:rFonts w:eastAsia="Times New Roman"/>
                <w:color w:val="auto"/>
                <w:sz w:val="24"/>
                <w:szCs w:val="24"/>
              </w:rPr>
              <w:t>是否开工建设</w:t>
            </w:r>
          </w:p>
        </w:tc>
        <w:tc>
          <w:tcPr>
            <w:tcW w:w="7093" w:type="dxa"/>
            <w:gridSpan w:val="3"/>
            <w:tcMar>
              <w:top w:w="16" w:type="dxa"/>
            </w:tcMar>
            <w:vAlign w:val="center"/>
          </w:tcPr>
          <w:p w14:paraId="4B860669">
            <w:pPr>
              <w:rPr>
                <w:rFonts w:eastAsia="Times New Roman"/>
                <w:color w:val="auto"/>
                <w:sz w:val="24"/>
                <w:szCs w:val="24"/>
              </w:rPr>
            </w:pPr>
            <w:r>
              <w:rPr>
                <w:rFonts w:ascii="Wingdings 2" w:eastAsia="Times New Roman"/>
                <w:color w:val="auto"/>
                <w:sz w:val="24"/>
                <w:szCs w:val="24"/>
              </w:rPr>
              <w:sym w:font="Wingdings 2" w:char="F052"/>
            </w:r>
            <w:r>
              <w:rPr>
                <w:rFonts w:eastAsia="Times New Roman"/>
                <w:color w:val="auto"/>
                <w:sz w:val="24"/>
                <w:szCs w:val="24"/>
              </w:rPr>
              <w:t>否</w:t>
            </w:r>
            <w:r>
              <w:rPr>
                <w:rFonts w:hint="eastAsia"/>
                <w:color w:val="auto"/>
                <w:sz w:val="24"/>
                <w:szCs w:val="24"/>
              </w:rPr>
              <w:t>：</w:t>
            </w:r>
            <w:r>
              <w:rPr>
                <w:rFonts w:hint="eastAsia" w:eastAsia="Times New Roman"/>
                <w:color w:val="auto"/>
                <w:sz w:val="24"/>
                <w:szCs w:val="24"/>
              </w:rPr>
              <w:t>本项目目前未开工。</w:t>
            </w:r>
          </w:p>
          <w:p w14:paraId="4417DCA4">
            <w:pPr>
              <w:jc w:val="left"/>
              <w:rPr>
                <w:color w:val="auto"/>
                <w:sz w:val="24"/>
                <w:szCs w:val="24"/>
              </w:rPr>
            </w:pPr>
            <w:r>
              <w:rPr>
                <w:rFonts w:ascii="Wingdings 2" w:eastAsia="Times New Roman"/>
                <w:color w:val="auto"/>
                <w:sz w:val="24"/>
                <w:szCs w:val="24"/>
              </w:rPr>
              <w:sym w:font="Wingdings 2" w:char="F0A3"/>
            </w:r>
            <w:r>
              <w:rPr>
                <w:rFonts w:eastAsia="Times New Roman"/>
                <w:color w:val="auto"/>
                <w:sz w:val="24"/>
                <w:szCs w:val="24"/>
              </w:rPr>
              <w:t>是</w:t>
            </w:r>
          </w:p>
        </w:tc>
      </w:tr>
      <w:tr w14:paraId="5CCE78E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2B8E7A2B">
            <w:pPr>
              <w:jc w:val="center"/>
              <w:rPr>
                <w:rFonts w:eastAsia="Times New Roman"/>
                <w:color w:val="auto"/>
                <w:sz w:val="24"/>
                <w:szCs w:val="24"/>
              </w:rPr>
            </w:pPr>
            <w:r>
              <w:rPr>
                <w:rFonts w:eastAsia="Times New Roman"/>
                <w:color w:val="auto"/>
                <w:sz w:val="24"/>
                <w:szCs w:val="24"/>
              </w:rPr>
              <w:t>专项评价设置</w:t>
            </w:r>
          </w:p>
          <w:p w14:paraId="77A96531">
            <w:pPr>
              <w:jc w:val="center"/>
              <w:rPr>
                <w:rFonts w:eastAsia="Times New Roman"/>
                <w:color w:val="auto"/>
                <w:sz w:val="24"/>
                <w:szCs w:val="24"/>
              </w:rPr>
            </w:pPr>
            <w:r>
              <w:rPr>
                <w:rFonts w:eastAsia="Times New Roman"/>
                <w:color w:val="auto"/>
                <w:sz w:val="24"/>
                <w:szCs w:val="24"/>
              </w:rPr>
              <w:t>情况</w:t>
            </w:r>
          </w:p>
        </w:tc>
        <w:tc>
          <w:tcPr>
            <w:tcW w:w="7093" w:type="dxa"/>
            <w:gridSpan w:val="3"/>
            <w:tcMar>
              <w:top w:w="16" w:type="dxa"/>
              <w:left w:w="16" w:type="dxa"/>
              <w:right w:w="16" w:type="dxa"/>
            </w:tcMar>
            <w:vAlign w:val="center"/>
          </w:tcPr>
          <w:tbl>
            <w:tblPr>
              <w:tblStyle w:val="19"/>
              <w:tblW w:w="4961"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915"/>
              <w:gridCol w:w="3782"/>
              <w:gridCol w:w="2309"/>
            </w:tblGrid>
            <w:tr w14:paraId="64012B2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7B732EEF">
                  <w:pPr>
                    <w:jc w:val="center"/>
                    <w:rPr>
                      <w:color w:val="auto"/>
                      <w:sz w:val="21"/>
                      <w:szCs w:val="21"/>
                    </w:rPr>
                  </w:pPr>
                  <w:r>
                    <w:rPr>
                      <w:color w:val="auto"/>
                      <w:sz w:val="21"/>
                      <w:szCs w:val="21"/>
                    </w:rPr>
                    <w:t>专项评价的类别</w:t>
                  </w:r>
                </w:p>
              </w:tc>
              <w:tc>
                <w:tcPr>
                  <w:tcW w:w="2699" w:type="pct"/>
                  <w:noWrap w:val="0"/>
                  <w:vAlign w:val="center"/>
                </w:tcPr>
                <w:p w14:paraId="725A25B9">
                  <w:pPr>
                    <w:jc w:val="center"/>
                    <w:rPr>
                      <w:color w:val="auto"/>
                      <w:sz w:val="21"/>
                      <w:szCs w:val="21"/>
                    </w:rPr>
                  </w:pPr>
                  <w:r>
                    <w:rPr>
                      <w:rFonts w:hint="eastAsia"/>
                      <w:color w:val="auto"/>
                      <w:sz w:val="21"/>
                      <w:szCs w:val="21"/>
                      <w:lang w:eastAsia="zh-CN"/>
                    </w:rPr>
                    <w:t>涉及</w:t>
                  </w:r>
                  <w:r>
                    <w:rPr>
                      <w:color w:val="auto"/>
                      <w:sz w:val="21"/>
                      <w:szCs w:val="21"/>
                    </w:rPr>
                    <w:t>项目类别</w:t>
                  </w:r>
                </w:p>
              </w:tc>
              <w:tc>
                <w:tcPr>
                  <w:tcW w:w="1647" w:type="pct"/>
                  <w:noWrap w:val="0"/>
                  <w:vAlign w:val="center"/>
                </w:tcPr>
                <w:p w14:paraId="58580136">
                  <w:pPr>
                    <w:jc w:val="center"/>
                    <w:rPr>
                      <w:color w:val="auto"/>
                      <w:sz w:val="21"/>
                      <w:szCs w:val="21"/>
                    </w:rPr>
                  </w:pPr>
                  <w:r>
                    <w:rPr>
                      <w:color w:val="auto"/>
                      <w:sz w:val="21"/>
                      <w:szCs w:val="21"/>
                    </w:rPr>
                    <w:t>本项目</w:t>
                  </w:r>
                </w:p>
              </w:tc>
            </w:tr>
            <w:tr w14:paraId="278DFF2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0F0649FA">
                  <w:pPr>
                    <w:jc w:val="center"/>
                    <w:rPr>
                      <w:rFonts w:hint="eastAsia" w:eastAsia="宋体"/>
                      <w:color w:val="auto"/>
                      <w:sz w:val="21"/>
                      <w:szCs w:val="21"/>
                      <w:lang w:eastAsia="zh-CN"/>
                    </w:rPr>
                  </w:pPr>
                  <w:r>
                    <w:rPr>
                      <w:rFonts w:hint="eastAsia"/>
                      <w:color w:val="auto"/>
                      <w:sz w:val="21"/>
                      <w:szCs w:val="21"/>
                      <w:lang w:eastAsia="zh-CN"/>
                    </w:rPr>
                    <w:t>地表水</w:t>
                  </w:r>
                </w:p>
              </w:tc>
              <w:tc>
                <w:tcPr>
                  <w:tcW w:w="2699" w:type="pct"/>
                  <w:noWrap w:val="0"/>
                  <w:vAlign w:val="center"/>
                </w:tcPr>
                <w:p w14:paraId="397B7FC0">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水力发电：引水式发电、涉及调峰发电的项目；</w:t>
                  </w:r>
                </w:p>
                <w:p w14:paraId="508E62A5">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人工湖、人工湿地：全部；</w:t>
                  </w:r>
                </w:p>
                <w:p w14:paraId="1E544E1D">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水库：全部；</w:t>
                  </w:r>
                </w:p>
                <w:p w14:paraId="28F4F4B8">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引水工程：全部（配套的管线工程等除外）；</w:t>
                  </w:r>
                </w:p>
                <w:p w14:paraId="1C365A23">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防洪除涝工程：包含水库的项目；</w:t>
                  </w:r>
                </w:p>
                <w:p w14:paraId="1CDEF2DD">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河湖整治：涉及清淤且底泥存在重金属污染的项目</w:t>
                  </w:r>
                </w:p>
              </w:tc>
              <w:tc>
                <w:tcPr>
                  <w:tcW w:w="1647" w:type="pct"/>
                  <w:noWrap w:val="0"/>
                  <w:vAlign w:val="center"/>
                </w:tcPr>
                <w:p w14:paraId="09D06698">
                  <w:pPr>
                    <w:jc w:val="center"/>
                    <w:rPr>
                      <w:rFonts w:hint="eastAsia" w:eastAsia="宋体"/>
                      <w:color w:val="auto"/>
                      <w:sz w:val="21"/>
                      <w:szCs w:val="21"/>
                      <w:lang w:eastAsia="zh-CN"/>
                    </w:rPr>
                  </w:pPr>
                  <w:r>
                    <w:rPr>
                      <w:rFonts w:hint="eastAsia"/>
                      <w:color w:val="auto"/>
                      <w:sz w:val="21"/>
                      <w:szCs w:val="21"/>
                      <w:lang w:eastAsia="zh-CN"/>
                    </w:rPr>
                    <w:t>本项目不属于所列类别，不设置地表水专题。</w:t>
                  </w:r>
                </w:p>
              </w:tc>
            </w:tr>
            <w:tr w14:paraId="0E680F5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7F8B48D5">
                  <w:pPr>
                    <w:jc w:val="center"/>
                    <w:rPr>
                      <w:rFonts w:hint="eastAsia" w:eastAsia="宋体"/>
                      <w:color w:val="auto"/>
                      <w:sz w:val="21"/>
                      <w:szCs w:val="21"/>
                      <w:lang w:eastAsia="zh-CN"/>
                    </w:rPr>
                  </w:pPr>
                  <w:r>
                    <w:rPr>
                      <w:rFonts w:hint="eastAsia"/>
                      <w:color w:val="auto"/>
                      <w:sz w:val="21"/>
                      <w:szCs w:val="21"/>
                      <w:lang w:eastAsia="zh-CN"/>
                    </w:rPr>
                    <w:t>地下水</w:t>
                  </w:r>
                </w:p>
              </w:tc>
              <w:tc>
                <w:tcPr>
                  <w:tcW w:w="2699" w:type="pct"/>
                  <w:noWrap w:val="0"/>
                  <w:vAlign w:val="center"/>
                </w:tcPr>
                <w:p w14:paraId="6271B768">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陆地石油和天然气开采：全部；</w:t>
                  </w:r>
                </w:p>
                <w:p w14:paraId="76241DFF">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地下水（含矿泉水）开采：全部；</w:t>
                  </w:r>
                </w:p>
                <w:p w14:paraId="6AA4908A">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水利、水电、交通等：含穿越可溶岩地层隧道的项目</w:t>
                  </w:r>
                </w:p>
              </w:tc>
              <w:tc>
                <w:tcPr>
                  <w:tcW w:w="1647" w:type="pct"/>
                  <w:noWrap w:val="0"/>
                  <w:vAlign w:val="center"/>
                </w:tcPr>
                <w:p w14:paraId="4F5B9267">
                  <w:pPr>
                    <w:jc w:val="center"/>
                    <w:rPr>
                      <w:rFonts w:hint="default" w:eastAsia="宋体"/>
                      <w:color w:val="auto"/>
                      <w:sz w:val="21"/>
                      <w:szCs w:val="21"/>
                      <w:lang w:val="en-US" w:eastAsia="zh-CN"/>
                    </w:rPr>
                  </w:pPr>
                  <w:r>
                    <w:rPr>
                      <w:rFonts w:hint="eastAsia"/>
                      <w:color w:val="auto"/>
                      <w:sz w:val="21"/>
                      <w:szCs w:val="21"/>
                      <w:lang w:eastAsia="zh-CN"/>
                    </w:rPr>
                    <w:t>本项目不属于</w:t>
                  </w:r>
                  <w:r>
                    <w:rPr>
                      <w:rFonts w:hint="eastAsia" w:ascii="Times New Roman" w:hAnsi="Times New Roman" w:eastAsia="宋体" w:cs="Times New Roman"/>
                      <w:color w:val="auto"/>
                      <w:sz w:val="21"/>
                      <w:szCs w:val="21"/>
                    </w:rPr>
                    <w:t>陆地石油和天然气</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Pr>
                    <w:t>地下水（含矿泉水）开采</w:t>
                  </w:r>
                  <w:r>
                    <w:rPr>
                      <w:rFonts w:hint="eastAsia" w:ascii="Times New Roman" w:hAnsi="Times New Roman" w:eastAsia="宋体" w:cs="Times New Roman"/>
                      <w:color w:val="auto"/>
                      <w:sz w:val="21"/>
                      <w:szCs w:val="21"/>
                      <w:lang w:eastAsia="zh-CN"/>
                    </w:rPr>
                    <w:t>项目，不属于</w:t>
                  </w:r>
                  <w:r>
                    <w:rPr>
                      <w:rFonts w:hint="eastAsia" w:ascii="Times New Roman" w:hAnsi="Times New Roman" w:eastAsia="宋体" w:cs="Times New Roman"/>
                      <w:color w:val="auto"/>
                      <w:sz w:val="21"/>
                      <w:szCs w:val="21"/>
                    </w:rPr>
                    <w:t>水利、水电、交通等</w:t>
                  </w:r>
                  <w:r>
                    <w:rPr>
                      <w:rFonts w:hint="eastAsia" w:ascii="Times New Roman" w:hAnsi="Times New Roman" w:eastAsia="宋体" w:cs="Times New Roman"/>
                      <w:color w:val="auto"/>
                      <w:sz w:val="21"/>
                      <w:szCs w:val="21"/>
                      <w:lang w:eastAsia="zh-CN"/>
                    </w:rPr>
                    <w:t>项目，不需要设置地下水专题。</w:t>
                  </w:r>
                </w:p>
              </w:tc>
            </w:tr>
            <w:tr w14:paraId="369BFB2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0C189935">
                  <w:pPr>
                    <w:jc w:val="center"/>
                    <w:rPr>
                      <w:rFonts w:hint="eastAsia" w:eastAsia="宋体"/>
                      <w:color w:val="auto"/>
                      <w:sz w:val="21"/>
                      <w:szCs w:val="21"/>
                      <w:lang w:eastAsia="zh-CN"/>
                    </w:rPr>
                  </w:pPr>
                  <w:r>
                    <w:rPr>
                      <w:rFonts w:hint="eastAsia"/>
                      <w:color w:val="auto"/>
                      <w:sz w:val="21"/>
                      <w:szCs w:val="21"/>
                      <w:lang w:eastAsia="zh-CN"/>
                    </w:rPr>
                    <w:t>生态</w:t>
                  </w:r>
                </w:p>
              </w:tc>
              <w:tc>
                <w:tcPr>
                  <w:tcW w:w="2699" w:type="pct"/>
                  <w:noWrap w:val="0"/>
                  <w:vAlign w:val="center"/>
                </w:tcPr>
                <w:p w14:paraId="1079F002">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涉及环境敏感区（不包括饮用水水源保护区，以居住、医疗卫生、文化教育、科研、行政办公为主要功能的区域，以及文物保护单位）的项目</w:t>
                  </w:r>
                </w:p>
              </w:tc>
              <w:tc>
                <w:tcPr>
                  <w:tcW w:w="1647" w:type="pct"/>
                  <w:noWrap w:val="0"/>
                  <w:vAlign w:val="center"/>
                </w:tcPr>
                <w:p w14:paraId="1ACBD21B">
                  <w:pPr>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val="en-US" w:eastAsia="zh-CN"/>
                    </w:rPr>
                    <w:t>本项目不涉及，不</w:t>
                  </w:r>
                  <w:r>
                    <w:rPr>
                      <w:rFonts w:hint="eastAsia" w:ascii="Times New Roman" w:hAnsi="Times New Roman" w:eastAsia="宋体" w:cs="Times New Roman"/>
                      <w:color w:val="auto"/>
                      <w:sz w:val="21"/>
                      <w:szCs w:val="21"/>
                      <w:lang w:val="en-US" w:eastAsia="zh-CN"/>
                    </w:rPr>
                    <w:t>需</w:t>
                  </w:r>
                  <w:r>
                    <w:rPr>
                      <w:rFonts w:hint="eastAsia" w:cs="Times New Roman"/>
                      <w:color w:val="auto"/>
                      <w:sz w:val="21"/>
                      <w:szCs w:val="21"/>
                      <w:lang w:val="en-US" w:eastAsia="zh-CN"/>
                    </w:rPr>
                    <w:t>要</w:t>
                  </w:r>
                  <w:r>
                    <w:rPr>
                      <w:rFonts w:hint="eastAsia" w:ascii="Times New Roman" w:hAnsi="Times New Roman" w:eastAsia="宋体" w:cs="Times New Roman"/>
                      <w:color w:val="auto"/>
                      <w:sz w:val="21"/>
                      <w:szCs w:val="21"/>
                      <w:lang w:val="en-US" w:eastAsia="zh-CN"/>
                    </w:rPr>
                    <w:t>设置生态专题。</w:t>
                  </w:r>
                </w:p>
              </w:tc>
            </w:tr>
            <w:tr w14:paraId="0A4635F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3CCE873C">
                  <w:pPr>
                    <w:jc w:val="center"/>
                    <w:rPr>
                      <w:rFonts w:hint="eastAsia" w:eastAsia="宋体"/>
                      <w:color w:val="auto"/>
                      <w:sz w:val="21"/>
                      <w:szCs w:val="21"/>
                      <w:lang w:eastAsia="zh-CN"/>
                    </w:rPr>
                  </w:pPr>
                  <w:r>
                    <w:rPr>
                      <w:rFonts w:hint="eastAsia"/>
                      <w:color w:val="auto"/>
                      <w:sz w:val="21"/>
                      <w:szCs w:val="21"/>
                      <w:lang w:eastAsia="zh-CN"/>
                    </w:rPr>
                    <w:t>大气</w:t>
                  </w:r>
                </w:p>
              </w:tc>
              <w:tc>
                <w:tcPr>
                  <w:tcW w:w="2699" w:type="pct"/>
                  <w:noWrap w:val="0"/>
                  <w:vAlign w:val="center"/>
                </w:tcPr>
                <w:p w14:paraId="4558CCFC">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油气、液体化工码头：全部；</w:t>
                  </w:r>
                </w:p>
                <w:p w14:paraId="715D88DE">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干散货（含煤炭、矿石）、件杂、多用途、通用码头：涉及粉尘、挥发性有机物排放的项目</w:t>
                  </w:r>
                </w:p>
              </w:tc>
              <w:tc>
                <w:tcPr>
                  <w:tcW w:w="1647" w:type="pct"/>
                  <w:noWrap w:val="0"/>
                  <w:vAlign w:val="center"/>
                </w:tcPr>
                <w:p w14:paraId="7C10FC35">
                  <w:pPr>
                    <w:jc w:val="center"/>
                    <w:rPr>
                      <w:rFonts w:hint="eastAsia" w:eastAsia="宋体"/>
                      <w:color w:val="auto"/>
                      <w:sz w:val="21"/>
                      <w:szCs w:val="21"/>
                      <w:lang w:eastAsia="zh-CN"/>
                    </w:rPr>
                  </w:pPr>
                  <w:r>
                    <w:rPr>
                      <w:rFonts w:hint="eastAsia"/>
                      <w:color w:val="auto"/>
                      <w:sz w:val="21"/>
                      <w:szCs w:val="21"/>
                      <w:lang w:eastAsia="zh-CN"/>
                    </w:rPr>
                    <w:t>本项目不属于</w:t>
                  </w:r>
                  <w:r>
                    <w:rPr>
                      <w:rFonts w:hint="eastAsia" w:ascii="Times New Roman" w:hAnsi="Times New Roman" w:eastAsia="宋体" w:cs="Times New Roman"/>
                      <w:color w:val="auto"/>
                      <w:sz w:val="21"/>
                      <w:szCs w:val="21"/>
                    </w:rPr>
                    <w:t>油气、液体化工码头</w:t>
                  </w:r>
                  <w:r>
                    <w:rPr>
                      <w:rFonts w:hint="eastAsia" w:ascii="Times New Roman" w:hAnsi="Times New Roman" w:eastAsia="宋体" w:cs="Times New Roman"/>
                      <w:color w:val="auto"/>
                      <w:sz w:val="21"/>
                      <w:szCs w:val="21"/>
                      <w:lang w:eastAsia="zh-CN"/>
                    </w:rPr>
                    <w:t>，不属于</w:t>
                  </w:r>
                  <w:r>
                    <w:rPr>
                      <w:rFonts w:hint="eastAsia" w:ascii="Times New Roman" w:hAnsi="Times New Roman" w:eastAsia="宋体" w:cs="Times New Roman"/>
                      <w:color w:val="auto"/>
                      <w:sz w:val="21"/>
                      <w:szCs w:val="21"/>
                    </w:rPr>
                    <w:t>通用码头</w:t>
                  </w:r>
                  <w:r>
                    <w:rPr>
                      <w:rFonts w:hint="eastAsia" w:ascii="Times New Roman" w:hAnsi="Times New Roman" w:eastAsia="宋体" w:cs="Times New Roman"/>
                      <w:color w:val="auto"/>
                      <w:sz w:val="21"/>
                      <w:szCs w:val="21"/>
                      <w:lang w:eastAsia="zh-CN"/>
                    </w:rPr>
                    <w:t>，不需要设置大气专题。</w:t>
                  </w:r>
                </w:p>
              </w:tc>
            </w:tr>
            <w:tr w14:paraId="2E1547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2649CD88">
                  <w:pPr>
                    <w:jc w:val="center"/>
                    <w:rPr>
                      <w:rFonts w:hint="eastAsia" w:eastAsia="宋体"/>
                      <w:color w:val="auto"/>
                      <w:sz w:val="21"/>
                      <w:szCs w:val="21"/>
                      <w:lang w:eastAsia="zh-CN"/>
                    </w:rPr>
                  </w:pPr>
                  <w:r>
                    <w:rPr>
                      <w:rFonts w:hint="eastAsia"/>
                      <w:color w:val="auto"/>
                      <w:sz w:val="21"/>
                      <w:szCs w:val="21"/>
                      <w:lang w:eastAsia="zh-CN"/>
                    </w:rPr>
                    <w:t>噪声</w:t>
                  </w:r>
                </w:p>
              </w:tc>
              <w:tc>
                <w:tcPr>
                  <w:tcW w:w="2699" w:type="pct"/>
                  <w:noWrap w:val="0"/>
                  <w:vAlign w:val="center"/>
                </w:tcPr>
                <w:p w14:paraId="5320D9F3">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公路、铁路、机场等交通运输业涉及环境敏感区（以居住、医疗卫生、文化教育、科研、行政办公为主要功能的区域）的项目；</w:t>
                  </w:r>
                </w:p>
                <w:p w14:paraId="36B6890F">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城市道路（不含维护，不含支路、人行天桥、人行地道）：全部</w:t>
                  </w:r>
                </w:p>
              </w:tc>
              <w:tc>
                <w:tcPr>
                  <w:tcW w:w="1647" w:type="pct"/>
                  <w:noWrap w:val="0"/>
                  <w:vAlign w:val="center"/>
                </w:tcPr>
                <w:p w14:paraId="5955D282">
                  <w:pPr>
                    <w:jc w:val="center"/>
                    <w:rPr>
                      <w:rFonts w:hint="eastAsia" w:eastAsia="宋体"/>
                      <w:color w:val="auto"/>
                      <w:sz w:val="21"/>
                      <w:szCs w:val="21"/>
                      <w:lang w:eastAsia="zh-CN"/>
                    </w:rPr>
                  </w:pPr>
                  <w:r>
                    <w:rPr>
                      <w:rFonts w:hint="eastAsia"/>
                      <w:color w:val="auto"/>
                      <w:sz w:val="21"/>
                      <w:szCs w:val="21"/>
                      <w:lang w:eastAsia="zh-CN"/>
                    </w:rPr>
                    <w:t>本项目不属于</w:t>
                  </w:r>
                  <w:r>
                    <w:rPr>
                      <w:rFonts w:hint="eastAsia" w:ascii="Times New Roman" w:hAnsi="Times New Roman" w:eastAsia="宋体" w:cs="Times New Roman"/>
                      <w:color w:val="auto"/>
                      <w:sz w:val="21"/>
                      <w:szCs w:val="21"/>
                    </w:rPr>
                    <w:t>公路、铁路、机场等交通运输业</w:t>
                  </w:r>
                  <w:r>
                    <w:rPr>
                      <w:rFonts w:hint="eastAsia" w:ascii="Times New Roman" w:hAnsi="Times New Roman" w:eastAsia="宋体" w:cs="Times New Roman"/>
                      <w:color w:val="auto"/>
                      <w:sz w:val="21"/>
                      <w:szCs w:val="21"/>
                      <w:lang w:eastAsia="zh-CN"/>
                    </w:rPr>
                    <w:t>，不属于</w:t>
                  </w:r>
                  <w:r>
                    <w:rPr>
                      <w:rFonts w:hint="eastAsia" w:ascii="Times New Roman" w:hAnsi="Times New Roman" w:eastAsia="宋体" w:cs="Times New Roman"/>
                      <w:color w:val="auto"/>
                      <w:sz w:val="21"/>
                      <w:szCs w:val="21"/>
                    </w:rPr>
                    <w:t>城市道路</w:t>
                  </w:r>
                  <w:r>
                    <w:rPr>
                      <w:rFonts w:hint="eastAsia" w:ascii="Times New Roman" w:hAnsi="Times New Roman" w:eastAsia="宋体" w:cs="Times New Roman"/>
                      <w:color w:val="auto"/>
                      <w:sz w:val="21"/>
                      <w:szCs w:val="21"/>
                      <w:lang w:eastAsia="zh-CN"/>
                    </w:rPr>
                    <w:t>，</w:t>
                  </w:r>
                  <w:r>
                    <w:rPr>
                      <w:rFonts w:hint="eastAsia"/>
                      <w:color w:val="auto"/>
                      <w:sz w:val="21"/>
                      <w:szCs w:val="21"/>
                      <w:lang w:eastAsia="zh-CN"/>
                    </w:rPr>
                    <w:t>不需要设置噪声专题。</w:t>
                  </w:r>
                </w:p>
              </w:tc>
            </w:tr>
            <w:tr w14:paraId="30C6B40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652" w:type="pct"/>
                  <w:noWrap w:val="0"/>
                  <w:vAlign w:val="center"/>
                </w:tcPr>
                <w:p w14:paraId="05CFF3B2">
                  <w:pPr>
                    <w:jc w:val="center"/>
                    <w:rPr>
                      <w:rFonts w:hint="eastAsia" w:eastAsia="宋体"/>
                      <w:color w:val="auto"/>
                      <w:sz w:val="21"/>
                      <w:szCs w:val="21"/>
                      <w:lang w:eastAsia="zh-CN"/>
                    </w:rPr>
                  </w:pPr>
                  <w:r>
                    <w:rPr>
                      <w:rFonts w:hint="eastAsia"/>
                      <w:color w:val="auto"/>
                      <w:sz w:val="21"/>
                      <w:szCs w:val="21"/>
                      <w:lang w:eastAsia="zh-CN"/>
                    </w:rPr>
                    <w:t>环境风险</w:t>
                  </w:r>
                </w:p>
              </w:tc>
              <w:tc>
                <w:tcPr>
                  <w:tcW w:w="2699" w:type="pct"/>
                  <w:noWrap w:val="0"/>
                  <w:vAlign w:val="center"/>
                </w:tcPr>
                <w:p w14:paraId="5FD3E12D">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石油和天然气开采：全部；</w:t>
                  </w:r>
                </w:p>
                <w:p w14:paraId="0323A5AE">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油气、液体化工码头：全部；</w:t>
                  </w:r>
                </w:p>
                <w:p w14:paraId="3F1AB85F">
                  <w:pPr>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原油、成品油、天然气管线（不含城镇天然气管线、企业厂区内管线），危险化学品输送管线（不含企业厂区内管线）：全部</w:t>
                  </w:r>
                </w:p>
              </w:tc>
              <w:tc>
                <w:tcPr>
                  <w:tcW w:w="1647" w:type="pct"/>
                  <w:noWrap w:val="0"/>
                  <w:vAlign w:val="center"/>
                </w:tcPr>
                <w:p w14:paraId="43FACC8B">
                  <w:pPr>
                    <w:jc w:val="center"/>
                    <w:rPr>
                      <w:rFonts w:hint="eastAsia" w:eastAsia="宋体"/>
                      <w:color w:val="auto"/>
                      <w:sz w:val="21"/>
                      <w:szCs w:val="21"/>
                      <w:lang w:eastAsia="zh-CN"/>
                    </w:rPr>
                  </w:pPr>
                  <w:r>
                    <w:rPr>
                      <w:rFonts w:hint="eastAsia"/>
                      <w:color w:val="auto"/>
                      <w:sz w:val="21"/>
                      <w:szCs w:val="21"/>
                      <w:lang w:eastAsia="zh-CN"/>
                    </w:rPr>
                    <w:t>本项目为</w:t>
                  </w:r>
                  <w:r>
                    <w:rPr>
                      <w:rFonts w:hint="eastAsia"/>
                      <w:color w:val="auto"/>
                      <w:sz w:val="21"/>
                      <w:szCs w:val="21"/>
                      <w:lang w:val="en-US" w:eastAsia="zh-CN"/>
                    </w:rPr>
                    <w:t>辅助提升及运输系统无轨化改造项目</w:t>
                  </w:r>
                  <w:r>
                    <w:rPr>
                      <w:rFonts w:hint="eastAsia"/>
                      <w:color w:val="auto"/>
                      <w:sz w:val="21"/>
                      <w:szCs w:val="21"/>
                      <w:lang w:eastAsia="zh-CN"/>
                    </w:rPr>
                    <w:t>，不涉及</w:t>
                  </w:r>
                  <w:r>
                    <w:rPr>
                      <w:rFonts w:hint="eastAsia" w:ascii="Times New Roman" w:hAnsi="Times New Roman" w:eastAsia="宋体" w:cs="Times New Roman"/>
                      <w:color w:val="auto"/>
                      <w:sz w:val="21"/>
                      <w:szCs w:val="21"/>
                    </w:rPr>
                    <w:t>石油和天然气开采</w:t>
                  </w:r>
                  <w:r>
                    <w:rPr>
                      <w:rFonts w:hint="eastAsia"/>
                      <w:color w:val="auto"/>
                      <w:sz w:val="21"/>
                      <w:szCs w:val="21"/>
                      <w:lang w:eastAsia="zh-CN"/>
                    </w:rPr>
                    <w:t>，不需要设置环境风险专题。</w:t>
                  </w:r>
                </w:p>
              </w:tc>
            </w:tr>
          </w:tbl>
          <w:p w14:paraId="0571F98F">
            <w:pPr>
              <w:jc w:val="center"/>
              <w:rPr>
                <w:rFonts w:eastAsia="Times New Roman"/>
                <w:color w:val="auto"/>
                <w:sz w:val="24"/>
                <w:szCs w:val="24"/>
              </w:rPr>
            </w:pPr>
          </w:p>
        </w:tc>
      </w:tr>
      <w:tr w14:paraId="5A76C9B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072" w:hRule="atLeast"/>
        </w:trPr>
        <w:tc>
          <w:tcPr>
            <w:tcW w:w="1819" w:type="dxa"/>
            <w:tcMar>
              <w:top w:w="16" w:type="dxa"/>
              <w:left w:w="16" w:type="dxa"/>
              <w:right w:w="16" w:type="dxa"/>
            </w:tcMar>
            <w:vAlign w:val="center"/>
          </w:tcPr>
          <w:p w14:paraId="020917DC">
            <w:pPr>
              <w:jc w:val="center"/>
              <w:rPr>
                <w:color w:val="auto"/>
                <w:sz w:val="24"/>
                <w:szCs w:val="24"/>
              </w:rPr>
            </w:pPr>
            <w:r>
              <w:rPr>
                <w:color w:val="auto"/>
                <w:sz w:val="24"/>
                <w:szCs w:val="24"/>
              </w:rPr>
              <w:t>规划情况</w:t>
            </w:r>
          </w:p>
        </w:tc>
        <w:tc>
          <w:tcPr>
            <w:tcW w:w="7093" w:type="dxa"/>
            <w:gridSpan w:val="3"/>
            <w:tcMar>
              <w:top w:w="16" w:type="dxa"/>
              <w:left w:w="16" w:type="dxa"/>
              <w:right w:w="16" w:type="dxa"/>
            </w:tcMar>
            <w:vAlign w:val="center"/>
          </w:tcPr>
          <w:p w14:paraId="1FBD8C3A">
            <w:pPr>
              <w:jc w:val="center"/>
              <w:rPr>
                <w:color w:val="auto"/>
                <w:sz w:val="24"/>
                <w:szCs w:val="24"/>
              </w:rPr>
            </w:pPr>
            <w:r>
              <w:rPr>
                <w:rFonts w:eastAsia="Times New Roman"/>
                <w:color w:val="auto"/>
                <w:sz w:val="24"/>
                <w:szCs w:val="24"/>
              </w:rPr>
              <w:t>无</w:t>
            </w:r>
          </w:p>
        </w:tc>
      </w:tr>
      <w:tr w14:paraId="0101F4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225" w:hRule="atLeast"/>
        </w:trPr>
        <w:tc>
          <w:tcPr>
            <w:tcW w:w="1819" w:type="dxa"/>
            <w:tcMar>
              <w:top w:w="16" w:type="dxa"/>
              <w:left w:w="16" w:type="dxa"/>
              <w:right w:w="16" w:type="dxa"/>
            </w:tcMar>
            <w:vAlign w:val="center"/>
          </w:tcPr>
          <w:p w14:paraId="65614BB8">
            <w:pPr>
              <w:jc w:val="center"/>
              <w:rPr>
                <w:rFonts w:eastAsia="Times New Roman"/>
                <w:color w:val="auto"/>
                <w:sz w:val="24"/>
                <w:szCs w:val="24"/>
              </w:rPr>
            </w:pPr>
            <w:r>
              <w:rPr>
                <w:rFonts w:eastAsia="Times New Roman"/>
                <w:color w:val="auto"/>
                <w:sz w:val="24"/>
                <w:szCs w:val="24"/>
              </w:rPr>
              <w:t>规划环境影响</w:t>
            </w:r>
          </w:p>
          <w:p w14:paraId="3DD336CD">
            <w:pPr>
              <w:jc w:val="center"/>
              <w:rPr>
                <w:rFonts w:eastAsia="Times New Roman"/>
                <w:color w:val="auto"/>
                <w:sz w:val="24"/>
                <w:szCs w:val="24"/>
              </w:rPr>
            </w:pPr>
            <w:r>
              <w:rPr>
                <w:rFonts w:eastAsia="Times New Roman"/>
                <w:color w:val="auto"/>
                <w:sz w:val="24"/>
                <w:szCs w:val="24"/>
              </w:rPr>
              <w:t>评价情况</w:t>
            </w:r>
          </w:p>
        </w:tc>
        <w:tc>
          <w:tcPr>
            <w:tcW w:w="7093" w:type="dxa"/>
            <w:gridSpan w:val="3"/>
            <w:tcMar>
              <w:top w:w="16" w:type="dxa"/>
              <w:left w:w="16" w:type="dxa"/>
              <w:right w:w="16" w:type="dxa"/>
            </w:tcMar>
            <w:vAlign w:val="center"/>
          </w:tcPr>
          <w:p w14:paraId="3B669A72">
            <w:pPr>
              <w:jc w:val="center"/>
              <w:rPr>
                <w:rFonts w:eastAsia="Times New Roman"/>
                <w:color w:val="auto"/>
                <w:sz w:val="24"/>
                <w:szCs w:val="24"/>
              </w:rPr>
            </w:pPr>
            <w:r>
              <w:rPr>
                <w:rFonts w:eastAsia="Times New Roman"/>
                <w:color w:val="auto"/>
                <w:sz w:val="24"/>
                <w:szCs w:val="24"/>
              </w:rPr>
              <w:t>无</w:t>
            </w:r>
          </w:p>
        </w:tc>
      </w:tr>
      <w:tr w14:paraId="48383B4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494" w:hRule="atLeast"/>
        </w:trPr>
        <w:tc>
          <w:tcPr>
            <w:tcW w:w="1819" w:type="dxa"/>
            <w:tcMar>
              <w:top w:w="16" w:type="dxa"/>
              <w:left w:w="16" w:type="dxa"/>
              <w:right w:w="16" w:type="dxa"/>
            </w:tcMar>
            <w:vAlign w:val="center"/>
          </w:tcPr>
          <w:p w14:paraId="5EDF8747">
            <w:pPr>
              <w:jc w:val="center"/>
              <w:rPr>
                <w:rFonts w:eastAsia="Times New Roman"/>
                <w:color w:val="auto"/>
                <w:sz w:val="24"/>
                <w:szCs w:val="24"/>
              </w:rPr>
            </w:pPr>
            <w:r>
              <w:rPr>
                <w:rFonts w:eastAsia="Times New Roman"/>
                <w:color w:val="auto"/>
                <w:sz w:val="24"/>
                <w:szCs w:val="24"/>
              </w:rPr>
              <w:t>规划及规划环境影响评价符合性分析</w:t>
            </w:r>
          </w:p>
        </w:tc>
        <w:tc>
          <w:tcPr>
            <w:tcW w:w="7093" w:type="dxa"/>
            <w:gridSpan w:val="3"/>
            <w:tcMar>
              <w:top w:w="16" w:type="dxa"/>
              <w:left w:w="16" w:type="dxa"/>
              <w:right w:w="16" w:type="dxa"/>
            </w:tcMar>
            <w:vAlign w:val="center"/>
          </w:tcPr>
          <w:p w14:paraId="6D46E674">
            <w:pPr>
              <w:jc w:val="center"/>
              <w:rPr>
                <w:rFonts w:eastAsia="Times New Roman"/>
                <w:color w:val="auto"/>
                <w:sz w:val="24"/>
                <w:szCs w:val="24"/>
              </w:rPr>
            </w:pPr>
            <w:r>
              <w:rPr>
                <w:rFonts w:eastAsia="Times New Roman"/>
                <w:color w:val="auto"/>
                <w:sz w:val="24"/>
                <w:szCs w:val="24"/>
              </w:rPr>
              <w:t>无</w:t>
            </w:r>
          </w:p>
        </w:tc>
      </w:tr>
      <w:tr w14:paraId="06BF96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819" w:type="dxa"/>
            <w:tcMar>
              <w:top w:w="16" w:type="dxa"/>
              <w:left w:w="16" w:type="dxa"/>
              <w:right w:w="16" w:type="dxa"/>
            </w:tcMar>
            <w:vAlign w:val="center"/>
          </w:tcPr>
          <w:p w14:paraId="164A6A75">
            <w:pPr>
              <w:jc w:val="center"/>
              <w:rPr>
                <w:rFonts w:eastAsia="Times New Roman"/>
                <w:color w:val="auto"/>
                <w:szCs w:val="21"/>
              </w:rPr>
            </w:pPr>
            <w:bookmarkStart w:id="0" w:name="_Hlk56690880"/>
            <w:r>
              <w:rPr>
                <w:rFonts w:eastAsia="Times New Roman"/>
                <w:color w:val="auto"/>
                <w:sz w:val="24"/>
              </w:rPr>
              <w:t>其他符合性分析</w:t>
            </w:r>
            <w:bookmarkEnd w:id="0"/>
          </w:p>
        </w:tc>
        <w:tc>
          <w:tcPr>
            <w:tcW w:w="7093" w:type="dxa"/>
            <w:gridSpan w:val="3"/>
            <w:tcMar>
              <w:top w:w="16" w:type="dxa"/>
              <w:left w:w="16" w:type="dxa"/>
              <w:right w:w="16" w:type="dxa"/>
            </w:tcMar>
            <w:vAlign w:val="center"/>
          </w:tcPr>
          <w:p w14:paraId="50D474BC">
            <w:pPr>
              <w:spacing w:line="360" w:lineRule="auto"/>
              <w:ind w:firstLine="480"/>
              <w:rPr>
                <w:rFonts w:eastAsia="Times New Roman"/>
                <w:b/>
                <w:bCs/>
                <w:color w:val="auto"/>
                <w:sz w:val="24"/>
              </w:rPr>
            </w:pPr>
            <w:r>
              <w:rPr>
                <w:rFonts w:eastAsia="Times New Roman"/>
                <w:b/>
                <w:bCs/>
                <w:color w:val="auto"/>
                <w:sz w:val="24"/>
              </w:rPr>
              <w:t>1、与产业政策的相符性分析</w:t>
            </w:r>
          </w:p>
          <w:p w14:paraId="31FA5B67">
            <w:pPr>
              <w:spacing w:line="360" w:lineRule="auto"/>
              <w:ind w:firstLine="480" w:firstLineChars="200"/>
              <w:rPr>
                <w:rFonts w:hint="eastAsia" w:cs="Times New Roman"/>
                <w:bCs/>
                <w:color w:val="auto"/>
                <w:sz w:val="24"/>
                <w:lang w:eastAsia="zh-CN"/>
              </w:rPr>
            </w:pPr>
            <w:r>
              <w:rPr>
                <w:rFonts w:hint="eastAsia" w:ascii="Times New Roman" w:hAnsi="Times New Roman" w:eastAsia="宋体" w:cs="Times New Roman"/>
                <w:bCs/>
                <w:color w:val="auto"/>
                <w:sz w:val="24"/>
              </w:rPr>
              <w:t>本项目为</w:t>
            </w:r>
            <w:r>
              <w:rPr>
                <w:rFonts w:hint="eastAsia" w:cs="Times New Roman"/>
                <w:bCs/>
                <w:color w:val="auto"/>
                <w:sz w:val="24"/>
                <w:lang w:eastAsia="zh-CN"/>
              </w:rPr>
              <w:t>煤矿</w:t>
            </w:r>
            <w:r>
              <w:rPr>
                <w:rFonts w:hint="eastAsia" w:eastAsia="Times New Roman"/>
                <w:color w:val="auto"/>
                <w:sz w:val="24"/>
                <w:szCs w:val="24"/>
                <w:lang w:val="en-US" w:eastAsia="zh-CN"/>
              </w:rPr>
              <w:t>辅助提升及运输系统无轨化改造项目</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根据《产业结构调整指导目录</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2024年本</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》，本项目</w:t>
            </w:r>
            <w:r>
              <w:rPr>
                <w:rFonts w:hint="eastAsia" w:cs="Times New Roman"/>
                <w:bCs/>
                <w:color w:val="auto"/>
                <w:sz w:val="24"/>
                <w:lang w:eastAsia="zh-CN"/>
              </w:rPr>
              <w:t>不</w:t>
            </w:r>
            <w:r>
              <w:rPr>
                <w:rFonts w:hint="eastAsia" w:ascii="Times New Roman" w:hAnsi="Times New Roman" w:eastAsia="宋体" w:cs="Times New Roman"/>
                <w:bCs/>
                <w:color w:val="auto"/>
                <w:sz w:val="24"/>
              </w:rPr>
              <w:t>属于鼓励类</w:t>
            </w:r>
            <w:r>
              <w:rPr>
                <w:rFonts w:hint="eastAsia" w:cs="Times New Roman"/>
                <w:bCs/>
                <w:color w:val="auto"/>
                <w:sz w:val="24"/>
                <w:lang w:eastAsia="zh-CN"/>
              </w:rPr>
              <w:t>、限制类和淘汰类</w:t>
            </w:r>
            <w:r>
              <w:rPr>
                <w:rFonts w:hint="eastAsia" w:ascii="Times New Roman" w:hAnsi="Times New Roman" w:eastAsia="宋体" w:cs="Times New Roman"/>
                <w:bCs/>
                <w:color w:val="auto"/>
                <w:sz w:val="24"/>
              </w:rPr>
              <w:t>，</w:t>
            </w:r>
            <w:r>
              <w:rPr>
                <w:rFonts w:hint="eastAsia" w:cs="Times New Roman"/>
                <w:bCs/>
                <w:color w:val="auto"/>
                <w:sz w:val="24"/>
                <w:lang w:eastAsia="zh-CN"/>
              </w:rPr>
              <w:t>视为允许类。</w:t>
            </w:r>
          </w:p>
          <w:p w14:paraId="554472B6">
            <w:pPr>
              <w:spacing w:line="360" w:lineRule="auto"/>
              <w:ind w:firstLine="480" w:firstLineChars="200"/>
              <w:rPr>
                <w:rFonts w:hint="eastAsia" w:ascii="Times New Roman" w:hAnsi="Times New Roman" w:eastAsia="宋体" w:cs="Times New Roman"/>
                <w:bCs/>
                <w:color w:val="auto"/>
                <w:sz w:val="24"/>
              </w:rPr>
            </w:pPr>
            <w:r>
              <w:rPr>
                <w:rFonts w:hint="eastAsia"/>
                <w:color w:val="auto"/>
                <w:sz w:val="24"/>
                <w:szCs w:val="24"/>
                <w:lang w:eastAsia="zh-CN"/>
              </w:rPr>
              <w:t>本项目已取得鄂温克族自治旗发展和改革委员会关于本项目的备案告知书，项目代码为</w:t>
            </w:r>
            <w:r>
              <w:rPr>
                <w:rFonts w:hint="eastAsia" w:eastAsia="Times New Roman"/>
                <w:color w:val="auto"/>
                <w:sz w:val="24"/>
                <w:szCs w:val="24"/>
                <w:lang w:val="en-US" w:eastAsia="zh-CN"/>
              </w:rPr>
              <w:t>2407-150724-04-02-284743。</w:t>
            </w:r>
            <w:r>
              <w:rPr>
                <w:rFonts w:hint="eastAsia" w:ascii="Times New Roman" w:hAnsi="Times New Roman" w:eastAsia="宋体" w:cs="Times New Roman"/>
                <w:bCs/>
                <w:color w:val="auto"/>
                <w:sz w:val="24"/>
              </w:rPr>
              <w:t>故本项目符合国家产业政策要求。</w:t>
            </w:r>
          </w:p>
          <w:p w14:paraId="222370E4">
            <w:pPr>
              <w:spacing w:line="360" w:lineRule="auto"/>
              <w:ind w:firstLine="480"/>
              <w:rPr>
                <w:rFonts w:eastAsia="Times New Roman"/>
                <w:b/>
                <w:bCs/>
                <w:color w:val="auto"/>
                <w:sz w:val="24"/>
              </w:rPr>
            </w:pPr>
            <w:r>
              <w:rPr>
                <w:rFonts w:eastAsia="Times New Roman"/>
                <w:b/>
                <w:bCs/>
                <w:color w:val="auto"/>
                <w:sz w:val="24"/>
              </w:rPr>
              <w:t>2、“三线一单”相关政策分析</w:t>
            </w:r>
          </w:p>
          <w:p w14:paraId="65566E91">
            <w:pPr>
              <w:spacing w:line="360" w:lineRule="auto"/>
              <w:ind w:firstLine="480" w:firstLineChars="200"/>
              <w:rPr>
                <w:rFonts w:hint="eastAsia" w:ascii="Times New Roman" w:hAnsi="Times New Roman" w:eastAsia="宋体" w:cs="Times New Roman"/>
                <w:bCs/>
                <w:color w:val="auto"/>
                <w:sz w:val="24"/>
              </w:rPr>
            </w:pPr>
            <w:r>
              <w:rPr>
                <w:rFonts w:hint="default" w:ascii="Times New Roman" w:hAnsi="Times New Roman" w:eastAsia="宋体" w:cs="Times New Roman"/>
                <w:bCs/>
                <w:color w:val="auto"/>
                <w:sz w:val="24"/>
                <w:lang w:val="en-US" w:eastAsia="zh-CN"/>
              </w:rPr>
              <w:t>本项目根据2021年11月3日呼伦贝尔市人民政府印发的《关于实施“三线一单”生态环境分区管控的意见》（呼政发〔2021〕26号）及《呼伦贝尔市生态环境分区管控成果动态更新情况说明》（2024年1月）进行分析。</w:t>
            </w:r>
          </w:p>
          <w:p w14:paraId="7C337D0F">
            <w:pPr>
              <w:spacing w:line="360" w:lineRule="auto"/>
              <w:ind w:firstLine="480" w:firstLineChars="200"/>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rPr>
              <w:t>（1）生态保护红线</w:t>
            </w:r>
          </w:p>
          <w:p w14:paraId="25DBB768">
            <w:pPr>
              <w:spacing w:line="360" w:lineRule="auto"/>
              <w:ind w:firstLine="480" w:firstLineChars="200"/>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 xml:space="preserve">①生态保护红线 </w:t>
            </w:r>
          </w:p>
          <w:p w14:paraId="3E3199AF">
            <w:pPr>
              <w:spacing w:line="360" w:lineRule="auto"/>
              <w:ind w:firstLine="480" w:firstLineChars="200"/>
              <w:rPr>
                <w:rFonts w:hint="eastAsia"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全市生态空间总面积为</w:t>
            </w:r>
            <w:r>
              <w:rPr>
                <w:rFonts w:hint="default" w:ascii="Times New Roman" w:hAnsi="Times New Roman" w:eastAsia="宋体" w:cs="Times New Roman"/>
                <w:bCs/>
                <w:color w:val="auto"/>
                <w:sz w:val="24"/>
                <w:lang w:val="en-US" w:eastAsia="zh-CN"/>
              </w:rPr>
              <w:t>185006.1</w:t>
            </w:r>
            <w:r>
              <w:rPr>
                <w:rFonts w:hint="eastAsia" w:ascii="Times New Roman" w:hAnsi="Times New Roman" w:eastAsia="宋体" w:cs="Times New Roman"/>
                <w:bCs/>
                <w:color w:val="auto"/>
                <w:sz w:val="24"/>
                <w:lang w:val="en-US" w:eastAsia="zh-CN"/>
              </w:rPr>
              <w:t>平方公里。生态保护红线面积根据国家和自治区最新批复及时调整。本项目位于</w:t>
            </w:r>
            <w:r>
              <w:rPr>
                <w:rFonts w:hint="eastAsia" w:ascii="Times New Roman" w:hAnsi="Times New Roman" w:eastAsia="Times New Roman" w:cs="Times New Roman"/>
                <w:color w:val="auto"/>
                <w:sz w:val="24"/>
              </w:rPr>
              <w:t>呼伦贝尔市鄂温克族自治旗</w:t>
            </w:r>
            <w:r>
              <w:rPr>
                <w:rFonts w:hint="eastAsia" w:eastAsia="Times New Roman"/>
                <w:color w:val="auto"/>
                <w:sz w:val="24"/>
                <w:szCs w:val="24"/>
                <w:lang w:val="en-US" w:eastAsia="zh-CN"/>
              </w:rPr>
              <w:t>锡尼河东苏木敏东一矿工业场地内</w:t>
            </w:r>
            <w:r>
              <w:rPr>
                <w:rFonts w:hint="eastAsia" w:ascii="Times New Roman" w:hAnsi="Times New Roman" w:eastAsia="宋体" w:cs="Times New Roman"/>
                <w:bCs/>
                <w:color w:val="auto"/>
                <w:sz w:val="24"/>
                <w:lang w:val="en-US" w:eastAsia="zh-CN"/>
              </w:rPr>
              <w:t>，不在已划定的生态红线内，周边无自然保护区、饮用水源保护区等生态保护目标，符合生态保护红线要求。</w:t>
            </w:r>
          </w:p>
          <w:p w14:paraId="7709FDA4">
            <w:pPr>
              <w:spacing w:line="360" w:lineRule="auto"/>
              <w:ind w:firstLine="480" w:firstLineChars="200"/>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 xml:space="preserve">②环境质量底线 </w:t>
            </w:r>
          </w:p>
          <w:p w14:paraId="03A24399">
            <w:pPr>
              <w:spacing w:line="360" w:lineRule="auto"/>
              <w:ind w:firstLine="480" w:firstLineChars="200"/>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 xml:space="preserve">全市环境空气质量总体保持稳定；水环境质量持续改善，国控、区控断面地表水优良比例达到国家和自治区下达指标要求；农用地和建设用地土壤环境安全得到有效保障，土壤环境风险得到全面管控。 </w:t>
            </w:r>
          </w:p>
          <w:p w14:paraId="76524095">
            <w:pPr>
              <w:spacing w:line="360" w:lineRule="auto"/>
              <w:ind w:firstLine="480" w:firstLineChars="200"/>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根据内蒙古自治区生态厅发布的</w:t>
            </w:r>
            <w:r>
              <w:rPr>
                <w:rFonts w:hint="default" w:ascii="Times New Roman" w:hAnsi="Times New Roman" w:eastAsia="宋体" w:cs="Times New Roman"/>
                <w:bCs/>
                <w:color w:val="auto"/>
                <w:sz w:val="24"/>
                <w:lang w:val="en-US" w:eastAsia="zh-CN"/>
              </w:rPr>
              <w:t>2023</w:t>
            </w:r>
            <w:r>
              <w:rPr>
                <w:rFonts w:hint="eastAsia" w:ascii="Times New Roman" w:hAnsi="Times New Roman" w:eastAsia="宋体" w:cs="Times New Roman"/>
                <w:bCs/>
                <w:color w:val="auto"/>
                <w:sz w:val="24"/>
                <w:lang w:val="en-US" w:eastAsia="zh-CN"/>
              </w:rPr>
              <w:t xml:space="preserve">年城市环境空气质量月报，项目所在区域环境质量良好。 </w:t>
            </w:r>
          </w:p>
          <w:p w14:paraId="3CB90F42">
            <w:pPr>
              <w:spacing w:line="360" w:lineRule="auto"/>
              <w:ind w:firstLine="480" w:firstLineChars="200"/>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项目运营</w:t>
            </w:r>
            <w:r>
              <w:rPr>
                <w:rFonts w:hint="eastAsia" w:ascii="Times New Roman" w:hAnsi="Times New Roman" w:eastAsia="Times New Roman" w:cs="Times New Roman"/>
                <w:b w:val="0"/>
                <w:bCs w:val="0"/>
                <w:color w:val="auto"/>
                <w:sz w:val="24"/>
                <w:szCs w:val="24"/>
                <w:lang w:val="en-US" w:eastAsia="zh-CN"/>
              </w:rPr>
              <w:t>期不产生废气；生活污水依托现有一体化处理设备进行二级处理，回用于鄂温克电厂用水；运营期产生的生活垃圾委托呼伦贝尔市石全经贸有限公司清运。本项目为辅助提升及运输</w:t>
            </w:r>
            <w:r>
              <w:rPr>
                <w:rFonts w:hint="eastAsia" w:eastAsia="Times New Roman" w:cs="Times New Roman"/>
                <w:b w:val="0"/>
                <w:bCs w:val="0"/>
                <w:color w:val="auto"/>
                <w:sz w:val="24"/>
                <w:szCs w:val="24"/>
                <w:lang w:val="en-US" w:eastAsia="zh-CN"/>
              </w:rPr>
              <w:t>系统无轨化改造项目，项目运营期不产生连续噪声。</w:t>
            </w:r>
            <w:r>
              <w:rPr>
                <w:rFonts w:hint="eastAsia" w:cs="Times New Roman"/>
                <w:bCs/>
                <w:color w:val="auto"/>
                <w:sz w:val="24"/>
                <w:lang w:val="en-US" w:eastAsia="zh-CN"/>
              </w:rPr>
              <w:t>因此，</w:t>
            </w:r>
            <w:r>
              <w:rPr>
                <w:rFonts w:hint="eastAsia" w:ascii="Times New Roman" w:hAnsi="Times New Roman" w:eastAsia="宋体" w:cs="Times New Roman"/>
                <w:bCs/>
                <w:color w:val="auto"/>
                <w:sz w:val="24"/>
                <w:lang w:val="en-US" w:eastAsia="zh-CN"/>
              </w:rPr>
              <w:t xml:space="preserve">项目对周围环境质量影响较小，不会突破区域环境质量底线要求。 </w:t>
            </w:r>
          </w:p>
          <w:p w14:paraId="172939F1">
            <w:pPr>
              <w:spacing w:line="360" w:lineRule="auto"/>
              <w:ind w:firstLine="480" w:firstLineChars="200"/>
              <w:rPr>
                <w:rFonts w:hint="eastAsia"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 xml:space="preserve">③资源利用上线 </w:t>
            </w:r>
          </w:p>
          <w:p w14:paraId="1CBFAE4C">
            <w:pPr>
              <w:spacing w:line="360" w:lineRule="auto"/>
              <w:ind w:firstLine="480" w:firstLineChars="200"/>
              <w:rPr>
                <w:rFonts w:hint="default"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 xml:space="preserve">全市水资源、土地资源、能源利用上线相关指标达到国家、自治区“十四五”下达的总量、强度、效率等控制要求。 </w:t>
            </w:r>
          </w:p>
          <w:p w14:paraId="61FE340B">
            <w:pPr>
              <w:spacing w:line="360" w:lineRule="auto"/>
              <w:ind w:firstLine="480" w:firstLineChars="200"/>
              <w:rPr>
                <w:rFonts w:hint="default"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本项目为煤矿辅助提升及运输系统无轨化改造项目，运营期不涉及水、电的消耗。项目的水、电等资源不会突破区域的资源利用上线。</w:t>
            </w:r>
          </w:p>
          <w:p w14:paraId="4AF3A7B9">
            <w:pPr>
              <w:spacing w:line="360" w:lineRule="auto"/>
              <w:ind w:firstLine="480" w:firstLineChars="200"/>
              <w:rPr>
                <w:rFonts w:hint="eastAsia"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 xml:space="preserve">④生态环境准入清单 </w:t>
            </w:r>
          </w:p>
          <w:p w14:paraId="654D66F4">
            <w:pPr>
              <w:spacing w:line="360" w:lineRule="auto"/>
              <w:ind w:firstLine="480" w:firstLineChars="200"/>
              <w:rPr>
                <w:rFonts w:hint="eastAsia"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本项目位于</w:t>
            </w:r>
            <w:r>
              <w:rPr>
                <w:rFonts w:hint="eastAsia" w:ascii="Times New Roman" w:hAnsi="Times New Roman" w:eastAsia="Times New Roman" w:cs="Times New Roman"/>
                <w:color w:val="auto"/>
                <w:sz w:val="24"/>
              </w:rPr>
              <w:t>呼伦贝尔市鄂温克族自治旗</w:t>
            </w:r>
            <w:r>
              <w:rPr>
                <w:rFonts w:hint="eastAsia" w:eastAsia="Times New Roman"/>
                <w:color w:val="auto"/>
                <w:sz w:val="24"/>
                <w:szCs w:val="24"/>
                <w:lang w:val="en-US" w:eastAsia="zh-CN"/>
              </w:rPr>
              <w:t>锡尼河东苏木敏东一矿工业场地内</w:t>
            </w:r>
            <w:r>
              <w:rPr>
                <w:rFonts w:hint="eastAsia" w:ascii="Times New Roman" w:hAnsi="Times New Roman" w:eastAsia="宋体" w:cs="Times New Roman"/>
                <w:bCs/>
                <w:color w:val="auto"/>
                <w:sz w:val="24"/>
                <w:lang w:val="en-US" w:eastAsia="zh-CN"/>
              </w:rPr>
              <w:t>，</w:t>
            </w:r>
            <w:r>
              <w:rPr>
                <w:rFonts w:hint="eastAsia" w:cs="Times New Roman"/>
                <w:bCs/>
                <w:color w:val="auto"/>
                <w:sz w:val="24"/>
                <w:lang w:val="en-US" w:eastAsia="zh-CN"/>
              </w:rPr>
              <w:t>根据</w:t>
            </w:r>
            <w:r>
              <w:rPr>
                <w:rFonts w:hint="default" w:ascii="Times New Roman" w:hAnsi="Times New Roman" w:eastAsia="宋体" w:cs="Times New Roman"/>
                <w:bCs/>
                <w:color w:val="auto"/>
                <w:sz w:val="24"/>
                <w:lang w:val="en-US" w:eastAsia="zh-CN"/>
              </w:rPr>
              <w:t>《呼伦贝尔市生态环境分区管控成果动态更新情况说明》（2024年1月）</w:t>
            </w:r>
            <w:r>
              <w:rPr>
                <w:rFonts w:hint="eastAsia" w:ascii="Times New Roman" w:hAnsi="Times New Roman" w:eastAsia="宋体" w:cs="Times New Roman"/>
                <w:bCs/>
                <w:color w:val="auto"/>
                <w:sz w:val="24"/>
                <w:lang w:val="en-US" w:eastAsia="zh-CN"/>
              </w:rPr>
              <w:t>，本项目涉及一个重点管控单元：鄂温克旗</w:t>
            </w:r>
            <w:r>
              <w:rPr>
                <w:rFonts w:hint="eastAsia" w:cs="Times New Roman"/>
                <w:bCs/>
                <w:color w:val="auto"/>
                <w:sz w:val="24"/>
                <w:lang w:val="en-US" w:eastAsia="zh-CN"/>
              </w:rPr>
              <w:t>伊敏矿区</w:t>
            </w:r>
            <w:r>
              <w:rPr>
                <w:rFonts w:hint="eastAsia" w:ascii="Times New Roman" w:hAnsi="Times New Roman" w:eastAsia="宋体" w:cs="Times New Roman"/>
                <w:bCs/>
                <w:color w:val="auto"/>
                <w:sz w:val="24"/>
                <w:lang w:val="en-US" w:eastAsia="zh-CN"/>
              </w:rPr>
              <w:t>（</w:t>
            </w:r>
            <w:r>
              <w:rPr>
                <w:rFonts w:hint="default" w:ascii="Times New Roman" w:hAnsi="Times New Roman" w:eastAsia="宋体" w:cs="Times New Roman"/>
                <w:bCs/>
                <w:color w:val="auto"/>
                <w:sz w:val="24"/>
                <w:lang w:val="en-US" w:eastAsia="zh-CN"/>
              </w:rPr>
              <w:t>ZH1507242000</w:t>
            </w:r>
            <w:r>
              <w:rPr>
                <w:rFonts w:hint="eastAsia" w:cs="Times New Roman"/>
                <w:bCs/>
                <w:color w:val="auto"/>
                <w:sz w:val="24"/>
                <w:lang w:val="en-US" w:eastAsia="zh-CN"/>
              </w:rPr>
              <w:t>5</w:t>
            </w:r>
            <w:r>
              <w:rPr>
                <w:rFonts w:hint="eastAsia" w:ascii="Times New Roman" w:hAnsi="Times New Roman" w:eastAsia="宋体" w:cs="Times New Roman"/>
                <w:bCs/>
                <w:color w:val="auto"/>
                <w:sz w:val="24"/>
                <w:lang w:val="en-US" w:eastAsia="zh-CN"/>
              </w:rPr>
              <w:t>）。本项目在管控单元中的位置见图</w:t>
            </w:r>
            <w:r>
              <w:rPr>
                <w:rFonts w:hint="default" w:ascii="Times New Roman" w:hAnsi="Times New Roman" w:eastAsia="宋体" w:cs="Times New Roman"/>
                <w:bCs/>
                <w:color w:val="auto"/>
                <w:sz w:val="24"/>
                <w:lang w:val="en-US" w:eastAsia="zh-CN"/>
              </w:rPr>
              <w:t>1</w:t>
            </w:r>
            <w:r>
              <w:rPr>
                <w:rFonts w:hint="eastAsia" w:cs="Times New Roman"/>
                <w:bCs/>
                <w:color w:val="auto"/>
                <w:sz w:val="24"/>
                <w:lang w:val="en-US" w:eastAsia="zh-CN"/>
              </w:rPr>
              <w:t>-1</w:t>
            </w:r>
            <w:r>
              <w:rPr>
                <w:rFonts w:hint="eastAsia" w:ascii="Times New Roman" w:hAnsi="Times New Roman" w:eastAsia="宋体" w:cs="Times New Roman"/>
                <w:bCs/>
                <w:color w:val="auto"/>
                <w:sz w:val="24"/>
                <w:lang w:val="en-US" w:eastAsia="zh-CN"/>
              </w:rPr>
              <w:t>，管控要求见表</w:t>
            </w:r>
            <w:r>
              <w:rPr>
                <w:rFonts w:hint="default" w:ascii="Times New Roman" w:hAnsi="Times New Roman" w:eastAsia="宋体" w:cs="Times New Roman"/>
                <w:bCs/>
                <w:color w:val="auto"/>
                <w:sz w:val="24"/>
                <w:lang w:val="en-US" w:eastAsia="zh-CN"/>
              </w:rPr>
              <w:t>1</w:t>
            </w:r>
            <w:r>
              <w:rPr>
                <w:rFonts w:hint="eastAsia" w:cs="Times New Roman"/>
                <w:bCs/>
                <w:color w:val="auto"/>
                <w:sz w:val="24"/>
                <w:lang w:val="en-US" w:eastAsia="zh-CN"/>
              </w:rPr>
              <w:t>-1</w:t>
            </w:r>
            <w:r>
              <w:rPr>
                <w:rFonts w:hint="eastAsia" w:ascii="Times New Roman" w:hAnsi="Times New Roman" w:eastAsia="宋体" w:cs="Times New Roman"/>
                <w:bCs/>
                <w:color w:val="auto"/>
                <w:sz w:val="24"/>
                <w:lang w:val="en-US" w:eastAsia="zh-CN"/>
              </w:rPr>
              <w:t>。</w:t>
            </w:r>
          </w:p>
          <w:p w14:paraId="095470B9">
            <w:pPr>
              <w:pStyle w:val="25"/>
              <w:rPr>
                <w:rFonts w:hint="default" w:ascii="Times New Roman" w:hAnsi="Times New Roman" w:cs="Times New Roman"/>
                <w:color w:val="auto"/>
              </w:rPr>
            </w:pPr>
            <w:r>
              <w:rPr>
                <w:rFonts w:hint="default" w:ascii="Times New Roman" w:hAnsi="Times New Roman" w:cs="Times New Roman"/>
                <w:color w:val="auto"/>
              </w:rPr>
              <w:t>表1-1</w:t>
            </w:r>
            <w:r>
              <w:rPr>
                <w:rFonts w:hint="eastAsia" w:ascii="Times New Roman" w:hAnsi="Times New Roman" w:cs="Times New Roman"/>
                <w:color w:val="auto"/>
                <w:lang w:val="en-US" w:eastAsia="zh-CN"/>
              </w:rPr>
              <w:t xml:space="preserve">    </w:t>
            </w:r>
            <w:r>
              <w:rPr>
                <w:rFonts w:hint="eastAsia" w:ascii="Times New Roman" w:hAnsi="Times New Roman" w:cs="Times New Roman"/>
                <w:color w:val="auto"/>
                <w:lang w:eastAsia="zh-CN"/>
              </w:rPr>
              <w:t>呼伦贝尔市</w:t>
            </w:r>
            <w:r>
              <w:rPr>
                <w:rFonts w:hint="default" w:ascii="Times New Roman" w:hAnsi="Times New Roman" w:cs="Times New Roman"/>
                <w:color w:val="auto"/>
              </w:rPr>
              <w:t>生态环境准入清单符合性分析表</w:t>
            </w:r>
          </w:p>
          <w:tbl>
            <w:tblPr>
              <w:tblStyle w:val="19"/>
              <w:tblW w:w="4961"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03"/>
              <w:gridCol w:w="780"/>
              <w:gridCol w:w="810"/>
              <w:gridCol w:w="2865"/>
              <w:gridCol w:w="1296"/>
              <w:gridCol w:w="552"/>
            </w:tblGrid>
            <w:tr w14:paraId="690DD9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078" w:hRule="atLeast"/>
                <w:tblHeader/>
                <w:jc w:val="center"/>
              </w:trPr>
              <w:tc>
                <w:tcPr>
                  <w:tcW w:w="501" w:type="pct"/>
                  <w:tcBorders>
                    <w:tl2br w:val="nil"/>
                    <w:tr2bl w:val="nil"/>
                  </w:tcBorders>
                  <w:noWrap w:val="0"/>
                  <w:vAlign w:val="center"/>
                </w:tcPr>
                <w:p w14:paraId="6BE83EDB">
                  <w:pPr>
                    <w:pStyle w:val="53"/>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环境管控单元编码</w:t>
                  </w:r>
                </w:p>
              </w:tc>
              <w:tc>
                <w:tcPr>
                  <w:tcW w:w="556" w:type="pct"/>
                  <w:tcBorders>
                    <w:tl2br w:val="nil"/>
                    <w:tr2bl w:val="nil"/>
                  </w:tcBorders>
                  <w:noWrap w:val="0"/>
                  <w:vAlign w:val="center"/>
                </w:tcPr>
                <w:p w14:paraId="42AF9870">
                  <w:pPr>
                    <w:pStyle w:val="53"/>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环境管控单元名称</w:t>
                  </w:r>
                </w:p>
              </w:tc>
              <w:tc>
                <w:tcPr>
                  <w:tcW w:w="2622" w:type="pct"/>
                  <w:gridSpan w:val="2"/>
                  <w:tcBorders>
                    <w:tl2br w:val="nil"/>
                    <w:tr2bl w:val="nil"/>
                  </w:tcBorders>
                  <w:noWrap w:val="0"/>
                  <w:vAlign w:val="center"/>
                </w:tcPr>
                <w:p w14:paraId="770A3BED">
                  <w:pPr>
                    <w:pStyle w:val="53"/>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管控要求</w:t>
                  </w:r>
                </w:p>
              </w:tc>
              <w:tc>
                <w:tcPr>
                  <w:tcW w:w="924" w:type="pct"/>
                  <w:tcBorders>
                    <w:tl2br w:val="nil"/>
                    <w:tr2bl w:val="nil"/>
                  </w:tcBorders>
                  <w:noWrap w:val="0"/>
                  <w:vAlign w:val="center"/>
                </w:tcPr>
                <w:p w14:paraId="0899ED93">
                  <w:pPr>
                    <w:pStyle w:val="53"/>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项目落实情况</w:t>
                  </w:r>
                </w:p>
              </w:tc>
              <w:tc>
                <w:tcPr>
                  <w:tcW w:w="393" w:type="pct"/>
                  <w:tcBorders>
                    <w:tl2br w:val="nil"/>
                    <w:tr2bl w:val="nil"/>
                  </w:tcBorders>
                  <w:noWrap w:val="0"/>
                  <w:vAlign w:val="center"/>
                </w:tcPr>
                <w:p w14:paraId="2D0CCAE1">
                  <w:pPr>
                    <w:pStyle w:val="53"/>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符合性</w:t>
                  </w:r>
                </w:p>
              </w:tc>
            </w:tr>
            <w:tr w14:paraId="2B88AA0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138" w:hRule="atLeast"/>
                <w:jc w:val="center"/>
              </w:trPr>
              <w:tc>
                <w:tcPr>
                  <w:tcW w:w="501" w:type="pct"/>
                  <w:vMerge w:val="restart"/>
                  <w:tcBorders>
                    <w:tl2br w:val="nil"/>
                    <w:tr2bl w:val="nil"/>
                  </w:tcBorders>
                  <w:noWrap w:val="0"/>
                  <w:vAlign w:val="center"/>
                </w:tcPr>
                <w:p w14:paraId="7206A7DE">
                  <w:pPr>
                    <w:pStyle w:val="53"/>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ZH1507242000</w:t>
                  </w:r>
                  <w:r>
                    <w:rPr>
                      <w:rFonts w:hint="eastAsia" w:cs="Times New Roman"/>
                      <w:bCs/>
                      <w:color w:val="auto"/>
                      <w:sz w:val="21"/>
                      <w:szCs w:val="21"/>
                      <w:lang w:val="en-US" w:eastAsia="zh-CN"/>
                    </w:rPr>
                    <w:t>5</w:t>
                  </w:r>
                </w:p>
              </w:tc>
              <w:tc>
                <w:tcPr>
                  <w:tcW w:w="556" w:type="pct"/>
                  <w:vMerge w:val="restart"/>
                  <w:tcBorders>
                    <w:tl2br w:val="nil"/>
                    <w:tr2bl w:val="nil"/>
                  </w:tcBorders>
                  <w:noWrap w:val="0"/>
                  <w:vAlign w:val="center"/>
                </w:tcPr>
                <w:p w14:paraId="65441339">
                  <w:pPr>
                    <w:pStyle w:val="53"/>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鄂温克旗</w:t>
                  </w:r>
                  <w:r>
                    <w:rPr>
                      <w:rFonts w:hint="eastAsia" w:cs="Times New Roman"/>
                      <w:bCs/>
                      <w:color w:val="auto"/>
                      <w:sz w:val="21"/>
                      <w:szCs w:val="21"/>
                      <w:lang w:val="en-US" w:eastAsia="zh-CN"/>
                    </w:rPr>
                    <w:t>伊敏矿区</w:t>
                  </w:r>
                  <w:r>
                    <w:rPr>
                      <w:rFonts w:hint="default" w:ascii="Times New Roman" w:hAnsi="Times New Roman" w:eastAsia="宋体" w:cs="Times New Roman"/>
                      <w:bCs/>
                      <w:color w:val="auto"/>
                      <w:sz w:val="21"/>
                      <w:szCs w:val="21"/>
                      <w:lang w:val="en-US" w:eastAsia="zh-CN"/>
                    </w:rPr>
                    <w:t>-</w:t>
                  </w:r>
                  <w:r>
                    <w:rPr>
                      <w:rFonts w:hint="eastAsia" w:ascii="Times New Roman" w:hAnsi="Times New Roman" w:eastAsia="宋体" w:cs="Times New Roman"/>
                      <w:bCs/>
                      <w:color w:val="auto"/>
                      <w:sz w:val="21"/>
                      <w:szCs w:val="21"/>
                      <w:lang w:val="en-US" w:eastAsia="zh-CN"/>
                    </w:rPr>
                    <w:t>重点管控单元</w:t>
                  </w:r>
                </w:p>
              </w:tc>
              <w:tc>
                <w:tcPr>
                  <w:tcW w:w="578" w:type="pct"/>
                  <w:tcBorders>
                    <w:tl2br w:val="nil"/>
                    <w:tr2bl w:val="nil"/>
                  </w:tcBorders>
                  <w:noWrap w:val="0"/>
                  <w:vAlign w:val="center"/>
                </w:tcPr>
                <w:p w14:paraId="3629C408">
                  <w:pPr>
                    <w:pStyle w:val="53"/>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空间布局约束</w:t>
                  </w:r>
                </w:p>
              </w:tc>
              <w:tc>
                <w:tcPr>
                  <w:tcW w:w="2044" w:type="pct"/>
                  <w:tcBorders>
                    <w:tl2br w:val="nil"/>
                    <w:tr2bl w:val="nil"/>
                  </w:tcBorders>
                  <w:noWrap w:val="0"/>
                  <w:vAlign w:val="center"/>
                </w:tcPr>
                <w:p w14:paraId="739AB0B6">
                  <w:pPr>
                    <w:pStyle w:val="53"/>
                    <w:numPr>
                      <w:ilvl w:val="0"/>
                      <w:numId w:val="0"/>
                    </w:numPr>
                    <w:jc w:val="left"/>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1.</w:t>
                  </w:r>
                  <w:r>
                    <w:rPr>
                      <w:rFonts w:hint="default" w:ascii="Times New Roman" w:hAnsi="Times New Roman" w:eastAsia="宋体" w:cs="Times New Roman"/>
                      <w:bCs/>
                      <w:color w:val="auto"/>
                      <w:sz w:val="21"/>
                      <w:szCs w:val="21"/>
                      <w:lang w:val="en-US" w:eastAsia="zh-CN"/>
                    </w:rPr>
                    <w:t>非经国务院授权的有关主管部门同意，不得在《中华人民共和国矿产资源法(修正)》中所列的6种地区开采矿产资源。</w:t>
                  </w:r>
                </w:p>
                <w:p w14:paraId="07D22823">
                  <w:pPr>
                    <w:pStyle w:val="53"/>
                    <w:numPr>
                      <w:ilvl w:val="0"/>
                      <w:numId w:val="0"/>
                    </w:numPr>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2.禁止新建、扩建《产业结构调整指导目录(2019年本)》明确的淘汰类项目</w:t>
                  </w:r>
                  <w:r>
                    <w:rPr>
                      <w:rFonts w:hint="eastAsia" w:cs="Times New Roman"/>
                      <w:bCs/>
                      <w:color w:val="auto"/>
                      <w:sz w:val="21"/>
                      <w:szCs w:val="21"/>
                      <w:lang w:val="en-US" w:eastAsia="zh-CN"/>
                    </w:rPr>
                    <w:t>；</w:t>
                  </w:r>
                  <w:r>
                    <w:rPr>
                      <w:rFonts w:hint="default" w:ascii="Times New Roman" w:hAnsi="Times New Roman" w:eastAsia="宋体" w:cs="Times New Roman"/>
                      <w:bCs/>
                      <w:color w:val="auto"/>
                      <w:sz w:val="21"/>
                      <w:szCs w:val="21"/>
                      <w:lang w:val="en-US" w:eastAsia="zh-CN"/>
                    </w:rPr>
                    <w:t>严格执行《自治区国家重点生态功能区产业准入负面清单(试行)》(内政发〔2018〕11号)中采矿业管控要求。</w:t>
                  </w:r>
                </w:p>
                <w:p w14:paraId="60BB9376">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进一步加大草原生态保护修复力度，加快草原生态恢复，提升草原生态服务功能，筑牢我国北方重要生态安全屏障。</w:t>
                  </w:r>
                </w:p>
                <w:p w14:paraId="4F45553B">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4.严格规范草原上已建矿产资源开发项目。对依法批准的草原上已建和在建矿产资源开发项目，不得在依法确定的矿区范围外平面增扩面积，不得未经批准由并工开采变为露天开采，严格控制排渣场、排士场、煤矸石堆场、场区道路占用草原面积。</w:t>
                  </w:r>
                </w:p>
                <w:p w14:paraId="05D95658">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5.合理开发利用和保护煤炭资源，规范煤炭生产、经营、清洁高效利用及相关活动，保障煤炭产业高质量发展。推进矿山环境综合治理，严格执行绿色矿山准入标准。</w:t>
                  </w:r>
                </w:p>
                <w:p w14:paraId="4C2E6F14">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6.执行《内蒙古自治区矿产资源总体规划(2021-2025年)》中最低开采规模相关</w:t>
                  </w:r>
                  <w:r>
                    <w:rPr>
                      <w:rFonts w:hint="eastAsia" w:ascii="Times New Roman" w:hAnsi="Times New Roman" w:eastAsia="宋体" w:cs="Times New Roman"/>
                      <w:bCs/>
                      <w:color w:val="auto"/>
                      <w:sz w:val="21"/>
                      <w:szCs w:val="21"/>
                      <w:lang w:val="en-US" w:eastAsia="zh-CN"/>
                    </w:rPr>
                    <w:t>要求。</w:t>
                  </w:r>
                </w:p>
              </w:tc>
              <w:tc>
                <w:tcPr>
                  <w:tcW w:w="924" w:type="pct"/>
                  <w:tcBorders>
                    <w:tl2br w:val="nil"/>
                    <w:tr2bl w:val="nil"/>
                  </w:tcBorders>
                  <w:noWrap w:val="0"/>
                  <w:vAlign w:val="center"/>
                </w:tcPr>
                <w:p w14:paraId="061639FD">
                  <w:pPr>
                    <w:pStyle w:val="53"/>
                    <w:numPr>
                      <w:ilvl w:val="0"/>
                      <w:numId w:val="0"/>
                    </w:numPr>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本项目</w:t>
                  </w:r>
                  <w:r>
                    <w:rPr>
                      <w:rFonts w:hint="eastAsia" w:ascii="Times New Roman" w:hAnsi="Times New Roman" w:eastAsia="宋体" w:cs="Times New Roman"/>
                      <w:bCs/>
                      <w:color w:val="auto"/>
                      <w:sz w:val="21"/>
                      <w:szCs w:val="21"/>
                      <w:lang w:val="en-US" w:eastAsia="zh-CN"/>
                    </w:rPr>
                    <w:t>在矿井工业广场内东南角设置井口，井筒长度为2513m，井下集中辅助运输大巷长度为2885m</w:t>
                  </w:r>
                  <w:r>
                    <w:rPr>
                      <w:rFonts w:hint="eastAsia" w:cs="Times New Roman"/>
                      <w:bCs/>
                      <w:color w:val="auto"/>
                      <w:sz w:val="21"/>
                      <w:szCs w:val="21"/>
                      <w:lang w:val="en-US" w:eastAsia="zh-CN"/>
                    </w:rPr>
                    <w:t>，本项目的建设，大大提升了矿区的工作效率。</w:t>
                  </w:r>
                </w:p>
              </w:tc>
              <w:tc>
                <w:tcPr>
                  <w:tcW w:w="393" w:type="pct"/>
                  <w:tcBorders>
                    <w:tl2br w:val="nil"/>
                    <w:tr2bl w:val="nil"/>
                  </w:tcBorders>
                  <w:noWrap w:val="0"/>
                  <w:vAlign w:val="center"/>
                </w:tcPr>
                <w:p w14:paraId="40231E90">
                  <w:pPr>
                    <w:pStyle w:val="53"/>
                    <w:numPr>
                      <w:ilvl w:val="0"/>
                      <w:numId w:val="0"/>
                    </w:numPr>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符合</w:t>
                  </w:r>
                </w:p>
              </w:tc>
            </w:tr>
            <w:tr w14:paraId="04AC051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699" w:hRule="atLeast"/>
                <w:jc w:val="center"/>
              </w:trPr>
              <w:tc>
                <w:tcPr>
                  <w:tcW w:w="501" w:type="pct"/>
                  <w:vMerge w:val="continue"/>
                  <w:tcBorders>
                    <w:tl2br w:val="nil"/>
                    <w:tr2bl w:val="nil"/>
                  </w:tcBorders>
                  <w:noWrap w:val="0"/>
                  <w:vAlign w:val="center"/>
                </w:tcPr>
                <w:p w14:paraId="5EAD4163">
                  <w:pPr>
                    <w:pStyle w:val="53"/>
                    <w:jc w:val="center"/>
                    <w:rPr>
                      <w:rFonts w:hint="default" w:ascii="Times New Roman" w:hAnsi="Times New Roman" w:eastAsia="宋体" w:cs="Times New Roman"/>
                      <w:bCs/>
                      <w:color w:val="auto"/>
                      <w:sz w:val="21"/>
                      <w:szCs w:val="21"/>
                      <w:lang w:val="en-US" w:eastAsia="zh-CN"/>
                    </w:rPr>
                  </w:pPr>
                </w:p>
              </w:tc>
              <w:tc>
                <w:tcPr>
                  <w:tcW w:w="556" w:type="pct"/>
                  <w:vMerge w:val="continue"/>
                  <w:tcBorders>
                    <w:tl2br w:val="nil"/>
                    <w:tr2bl w:val="nil"/>
                  </w:tcBorders>
                  <w:noWrap w:val="0"/>
                  <w:vAlign w:val="center"/>
                </w:tcPr>
                <w:p w14:paraId="2A034D6B">
                  <w:pPr>
                    <w:pStyle w:val="53"/>
                    <w:jc w:val="center"/>
                    <w:rPr>
                      <w:rFonts w:hint="eastAsia" w:ascii="Times New Roman" w:hAnsi="Times New Roman" w:eastAsia="宋体" w:cs="Times New Roman"/>
                      <w:bCs/>
                      <w:color w:val="auto"/>
                      <w:sz w:val="21"/>
                      <w:szCs w:val="21"/>
                      <w:lang w:val="en-US" w:eastAsia="zh-CN"/>
                    </w:rPr>
                  </w:pPr>
                </w:p>
              </w:tc>
              <w:tc>
                <w:tcPr>
                  <w:tcW w:w="578" w:type="pct"/>
                  <w:tcBorders>
                    <w:tl2br w:val="nil"/>
                    <w:tr2bl w:val="nil"/>
                  </w:tcBorders>
                  <w:noWrap w:val="0"/>
                  <w:vAlign w:val="center"/>
                </w:tcPr>
                <w:p w14:paraId="47F134C5">
                  <w:pPr>
                    <w:pStyle w:val="53"/>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污染物排放管控</w:t>
                  </w:r>
                </w:p>
              </w:tc>
              <w:tc>
                <w:tcPr>
                  <w:tcW w:w="2044" w:type="pct"/>
                  <w:tcBorders>
                    <w:tl2br w:val="nil"/>
                    <w:tr2bl w:val="nil"/>
                  </w:tcBorders>
                  <w:noWrap w:val="0"/>
                  <w:vAlign w:val="center"/>
                </w:tcPr>
                <w:p w14:paraId="09FEB18D">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士地得到全面复垦。2.生产矿山年度占用土地面积与年度治理面积基本达到平衡，“三废”排放符合环保指标要求。</w:t>
                  </w:r>
                </w:p>
                <w:p w14:paraId="75BBF55C">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3.煤矿地面运煤系统、运输设备、煤炭贮存场所应当全封闭。鼓励有条件的露天矿山采用密闭式皮带运输系统，煤炭企业应当负责矿权范围内和排矸场等着火点灭火工作</w:t>
                  </w:r>
                  <w:r>
                    <w:rPr>
                      <w:rFonts w:hint="eastAsia" w:cs="Times New Roman"/>
                      <w:bCs/>
                      <w:color w:val="auto"/>
                      <w:sz w:val="21"/>
                      <w:szCs w:val="21"/>
                      <w:lang w:val="en-US" w:eastAsia="zh-CN"/>
                    </w:rPr>
                    <w:t>；</w:t>
                  </w:r>
                  <w:r>
                    <w:rPr>
                      <w:rFonts w:hint="default" w:ascii="Times New Roman" w:hAnsi="Times New Roman" w:eastAsia="宋体" w:cs="Times New Roman"/>
                      <w:bCs/>
                      <w:color w:val="auto"/>
                      <w:sz w:val="21"/>
                      <w:szCs w:val="21"/>
                      <w:lang w:val="en-US" w:eastAsia="zh-CN"/>
                    </w:rPr>
                    <w:t>提高煤矸石、矿井水的综合利用。</w:t>
                  </w:r>
                </w:p>
              </w:tc>
              <w:tc>
                <w:tcPr>
                  <w:tcW w:w="924" w:type="pct"/>
                  <w:tcBorders>
                    <w:tl2br w:val="nil"/>
                    <w:tr2bl w:val="nil"/>
                  </w:tcBorders>
                  <w:noWrap w:val="0"/>
                  <w:vAlign w:val="center"/>
                </w:tcPr>
                <w:p w14:paraId="481A9326">
                  <w:pPr>
                    <w:pStyle w:val="53"/>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本项目</w:t>
                  </w:r>
                  <w:r>
                    <w:rPr>
                      <w:rFonts w:hint="eastAsia" w:ascii="Times New Roman" w:hAnsi="Times New Roman" w:eastAsia="宋体" w:cs="Times New Roman"/>
                      <w:bCs/>
                      <w:color w:val="auto"/>
                      <w:sz w:val="21"/>
                      <w:szCs w:val="21"/>
                      <w:lang w:val="en-US" w:eastAsia="zh-CN"/>
                    </w:rPr>
                    <w:t>在矿井工业广场内东南角设置井口，井筒长度为2513m，井下集中辅助运输大巷长度为2885m</w:t>
                  </w:r>
                  <w:r>
                    <w:rPr>
                      <w:rFonts w:hint="eastAsia" w:cs="Times New Roman"/>
                      <w:bCs/>
                      <w:color w:val="auto"/>
                      <w:sz w:val="21"/>
                      <w:szCs w:val="21"/>
                      <w:lang w:val="en-US" w:eastAsia="zh-CN"/>
                    </w:rPr>
                    <w:t>，为井下运输系统。</w:t>
                  </w:r>
                </w:p>
              </w:tc>
              <w:tc>
                <w:tcPr>
                  <w:tcW w:w="393" w:type="pct"/>
                  <w:tcBorders>
                    <w:tl2br w:val="nil"/>
                    <w:tr2bl w:val="nil"/>
                  </w:tcBorders>
                  <w:noWrap w:val="0"/>
                  <w:vAlign w:val="center"/>
                </w:tcPr>
                <w:p w14:paraId="08D1E1A6">
                  <w:pPr>
                    <w:pStyle w:val="53"/>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符合</w:t>
                  </w:r>
                </w:p>
              </w:tc>
            </w:tr>
            <w:tr w14:paraId="6C75AAB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671" w:hRule="atLeast"/>
                <w:jc w:val="center"/>
              </w:trPr>
              <w:tc>
                <w:tcPr>
                  <w:tcW w:w="501" w:type="pct"/>
                  <w:vMerge w:val="continue"/>
                  <w:tcBorders>
                    <w:tl2br w:val="nil"/>
                    <w:tr2bl w:val="nil"/>
                  </w:tcBorders>
                  <w:noWrap w:val="0"/>
                  <w:vAlign w:val="center"/>
                </w:tcPr>
                <w:p w14:paraId="2884D441">
                  <w:pPr>
                    <w:pStyle w:val="53"/>
                    <w:jc w:val="center"/>
                    <w:rPr>
                      <w:rFonts w:hint="default" w:ascii="Times New Roman" w:hAnsi="Times New Roman" w:eastAsia="宋体" w:cs="Times New Roman"/>
                      <w:bCs/>
                      <w:color w:val="auto"/>
                      <w:sz w:val="21"/>
                      <w:szCs w:val="21"/>
                      <w:lang w:val="en-US" w:eastAsia="zh-CN"/>
                    </w:rPr>
                  </w:pPr>
                </w:p>
              </w:tc>
              <w:tc>
                <w:tcPr>
                  <w:tcW w:w="556" w:type="pct"/>
                  <w:vMerge w:val="continue"/>
                  <w:tcBorders>
                    <w:tl2br w:val="nil"/>
                    <w:tr2bl w:val="nil"/>
                  </w:tcBorders>
                  <w:noWrap w:val="0"/>
                  <w:vAlign w:val="center"/>
                </w:tcPr>
                <w:p w14:paraId="74A383D2">
                  <w:pPr>
                    <w:pStyle w:val="53"/>
                    <w:jc w:val="center"/>
                    <w:rPr>
                      <w:rFonts w:hint="eastAsia" w:ascii="Times New Roman" w:hAnsi="Times New Roman" w:eastAsia="宋体" w:cs="Times New Roman"/>
                      <w:bCs/>
                      <w:color w:val="auto"/>
                      <w:sz w:val="21"/>
                      <w:szCs w:val="21"/>
                      <w:lang w:val="en-US" w:eastAsia="zh-CN"/>
                    </w:rPr>
                  </w:pPr>
                </w:p>
              </w:tc>
              <w:tc>
                <w:tcPr>
                  <w:tcW w:w="578" w:type="pct"/>
                  <w:tcBorders>
                    <w:tl2br w:val="nil"/>
                    <w:tr2bl w:val="nil"/>
                  </w:tcBorders>
                  <w:noWrap w:val="0"/>
                  <w:vAlign w:val="center"/>
                </w:tcPr>
                <w:p w14:paraId="139CE35E">
                  <w:pPr>
                    <w:pStyle w:val="53"/>
                    <w:jc w:val="center"/>
                    <w:rPr>
                      <w:rFonts w:hint="eastAsia" w:cs="Times New Roman"/>
                      <w:color w:val="auto"/>
                      <w:sz w:val="21"/>
                      <w:szCs w:val="21"/>
                      <w:lang w:eastAsia="zh-CN"/>
                    </w:rPr>
                  </w:pPr>
                  <w:r>
                    <w:rPr>
                      <w:rFonts w:hint="eastAsia" w:cs="Times New Roman"/>
                      <w:color w:val="auto"/>
                      <w:sz w:val="21"/>
                      <w:szCs w:val="21"/>
                      <w:lang w:eastAsia="zh-CN"/>
                    </w:rPr>
                    <w:t>环境风险防控</w:t>
                  </w:r>
                </w:p>
              </w:tc>
              <w:tc>
                <w:tcPr>
                  <w:tcW w:w="2044" w:type="pct"/>
                  <w:tcBorders>
                    <w:tl2br w:val="nil"/>
                    <w:tr2bl w:val="nil"/>
                  </w:tcBorders>
                  <w:noWrap w:val="0"/>
                  <w:vAlign w:val="center"/>
                </w:tcPr>
                <w:p w14:paraId="17A0E405">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1.制定环境风险应急预案，成立应急组织机构，配备必要的应急设施和应急物资，定期</w:t>
                  </w:r>
                </w:p>
                <w:p w14:paraId="51B38F9E">
                  <w:pPr>
                    <w:pStyle w:val="53"/>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开展环境风险应急演练。</w:t>
                  </w:r>
                </w:p>
                <w:p w14:paraId="38D0781A">
                  <w:pPr>
                    <w:pStyle w:val="53"/>
                    <w:numPr>
                      <w:ilvl w:val="0"/>
                      <w:numId w:val="0"/>
                    </w:numPr>
                    <w:jc w:val="left"/>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2.</w:t>
                  </w:r>
                  <w:r>
                    <w:rPr>
                      <w:rFonts w:hint="default" w:ascii="Times New Roman" w:hAnsi="Times New Roman" w:eastAsia="宋体" w:cs="Times New Roman"/>
                      <w:bCs/>
                      <w:color w:val="auto"/>
                      <w:sz w:val="21"/>
                      <w:szCs w:val="21"/>
                      <w:lang w:val="en-US" w:eastAsia="zh-CN"/>
                    </w:rPr>
                    <w:t>加强采矿引起的滑坡、塌陷等次生地质灾害的防范和治理，及时回填废弃巷道和采空区，要充分利用采矿疏干排出的地下水，最大限度的维持矿区生态平衡。</w:t>
                  </w:r>
                </w:p>
                <w:p w14:paraId="29AEC16B">
                  <w:pPr>
                    <w:pStyle w:val="53"/>
                    <w:numPr>
                      <w:ilvl w:val="0"/>
                      <w:numId w:val="0"/>
                    </w:numPr>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3.强化安全生产责任落实，建立安全生产长效机制，坚决防范、遏制露天煤矿生产安全事故发生。</w:t>
                  </w:r>
                </w:p>
              </w:tc>
              <w:tc>
                <w:tcPr>
                  <w:tcW w:w="924" w:type="pct"/>
                  <w:tcBorders>
                    <w:tl2br w:val="nil"/>
                    <w:tr2bl w:val="nil"/>
                  </w:tcBorders>
                  <w:noWrap w:val="0"/>
                  <w:vAlign w:val="center"/>
                </w:tcPr>
                <w:p w14:paraId="3493F827">
                  <w:pPr>
                    <w:pStyle w:val="53"/>
                    <w:jc w:val="center"/>
                    <w:rPr>
                      <w:rFonts w:hint="eastAsia" w:cs="Times New Roman"/>
                      <w:color w:val="auto"/>
                      <w:sz w:val="21"/>
                      <w:szCs w:val="21"/>
                      <w:lang w:eastAsia="zh-CN"/>
                    </w:rPr>
                  </w:pPr>
                  <w:r>
                    <w:rPr>
                      <w:rFonts w:hint="eastAsia" w:cs="Times New Roman"/>
                      <w:color w:val="auto"/>
                      <w:sz w:val="21"/>
                      <w:szCs w:val="21"/>
                      <w:lang w:val="en-US" w:eastAsia="zh-CN"/>
                    </w:rPr>
                    <w:t xml:space="preserve">本项目所属 矿区已建立突发环境事件应急防控 </w:t>
                  </w:r>
                </w:p>
                <w:p w14:paraId="28CCE8FA">
                  <w:pPr>
                    <w:pStyle w:val="53"/>
                    <w:jc w:val="center"/>
                    <w:rPr>
                      <w:rFonts w:hint="eastAsia" w:cs="Times New Roman"/>
                      <w:color w:val="auto"/>
                      <w:sz w:val="21"/>
                      <w:szCs w:val="21"/>
                      <w:lang w:eastAsia="zh-CN"/>
                    </w:rPr>
                  </w:pPr>
                  <w:r>
                    <w:rPr>
                      <w:rFonts w:hint="eastAsia" w:cs="Times New Roman"/>
                      <w:color w:val="auto"/>
                      <w:sz w:val="21"/>
                      <w:szCs w:val="21"/>
                      <w:lang w:val="en-US" w:eastAsia="zh-CN"/>
                    </w:rPr>
                    <w:t>体系并定期更新</w:t>
                  </w:r>
                </w:p>
                <w:p w14:paraId="172121DC">
                  <w:pPr>
                    <w:pStyle w:val="53"/>
                    <w:jc w:val="center"/>
                    <w:rPr>
                      <w:rFonts w:hint="eastAsia" w:cs="Times New Roman"/>
                      <w:color w:val="auto"/>
                      <w:sz w:val="21"/>
                      <w:szCs w:val="21"/>
                      <w:lang w:eastAsia="zh-CN"/>
                    </w:rPr>
                  </w:pPr>
                </w:p>
              </w:tc>
              <w:tc>
                <w:tcPr>
                  <w:tcW w:w="393" w:type="pct"/>
                  <w:tcBorders>
                    <w:tl2br w:val="nil"/>
                    <w:tr2bl w:val="nil"/>
                  </w:tcBorders>
                  <w:noWrap w:val="0"/>
                  <w:vAlign w:val="center"/>
                </w:tcPr>
                <w:p w14:paraId="630D965D">
                  <w:pPr>
                    <w:pStyle w:val="53"/>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符合</w:t>
                  </w:r>
                </w:p>
              </w:tc>
            </w:tr>
            <w:tr w14:paraId="54143AF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671" w:hRule="atLeast"/>
                <w:jc w:val="center"/>
              </w:trPr>
              <w:tc>
                <w:tcPr>
                  <w:tcW w:w="501" w:type="pct"/>
                  <w:vMerge w:val="continue"/>
                  <w:tcBorders>
                    <w:tl2br w:val="nil"/>
                    <w:tr2bl w:val="nil"/>
                  </w:tcBorders>
                  <w:noWrap w:val="0"/>
                  <w:vAlign w:val="center"/>
                </w:tcPr>
                <w:p w14:paraId="569B53A5">
                  <w:pPr>
                    <w:pStyle w:val="53"/>
                    <w:jc w:val="center"/>
                    <w:rPr>
                      <w:rFonts w:hint="default" w:ascii="Times New Roman" w:hAnsi="Times New Roman" w:eastAsia="宋体" w:cs="Times New Roman"/>
                      <w:bCs/>
                      <w:color w:val="auto"/>
                      <w:sz w:val="21"/>
                      <w:szCs w:val="21"/>
                      <w:lang w:val="en-US" w:eastAsia="zh-CN"/>
                    </w:rPr>
                  </w:pPr>
                </w:p>
              </w:tc>
              <w:tc>
                <w:tcPr>
                  <w:tcW w:w="556" w:type="pct"/>
                  <w:vMerge w:val="continue"/>
                  <w:tcBorders>
                    <w:tl2br w:val="nil"/>
                    <w:tr2bl w:val="nil"/>
                  </w:tcBorders>
                  <w:noWrap w:val="0"/>
                  <w:vAlign w:val="center"/>
                </w:tcPr>
                <w:p w14:paraId="4A2306F9">
                  <w:pPr>
                    <w:pStyle w:val="53"/>
                    <w:jc w:val="center"/>
                    <w:rPr>
                      <w:rFonts w:hint="eastAsia" w:ascii="Times New Roman" w:hAnsi="Times New Roman" w:eastAsia="宋体" w:cs="Times New Roman"/>
                      <w:bCs/>
                      <w:color w:val="auto"/>
                      <w:sz w:val="21"/>
                      <w:szCs w:val="21"/>
                      <w:lang w:val="en-US" w:eastAsia="zh-CN"/>
                    </w:rPr>
                  </w:pPr>
                </w:p>
              </w:tc>
              <w:tc>
                <w:tcPr>
                  <w:tcW w:w="578" w:type="pct"/>
                  <w:tcBorders>
                    <w:tl2br w:val="nil"/>
                    <w:tr2bl w:val="nil"/>
                  </w:tcBorders>
                  <w:noWrap w:val="0"/>
                  <w:vAlign w:val="center"/>
                </w:tcPr>
                <w:p w14:paraId="040DC4CC">
                  <w:pPr>
                    <w:pStyle w:val="53"/>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资源利用效率要求</w:t>
                  </w:r>
                </w:p>
              </w:tc>
              <w:tc>
                <w:tcPr>
                  <w:tcW w:w="2044" w:type="pct"/>
                  <w:tcBorders>
                    <w:tl2br w:val="nil"/>
                    <w:tr2bl w:val="nil"/>
                  </w:tcBorders>
                  <w:noWrap w:val="0"/>
                  <w:vAlign w:val="center"/>
                </w:tcPr>
                <w:p w14:paraId="54DAA75A">
                  <w:pPr>
                    <w:pStyle w:val="53"/>
                    <w:numPr>
                      <w:ilvl w:val="0"/>
                      <w:numId w:val="2"/>
                    </w:numPr>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原煤入选率不低于75%;煤矸石综合利用率应达到75%以上;矿井水、疏干水应采用洁净化、资源化技术和工艺进行合理处置，处置率达到100%。</w:t>
                  </w:r>
                </w:p>
                <w:p w14:paraId="11DCE43A">
                  <w:pPr>
                    <w:pStyle w:val="53"/>
                    <w:numPr>
                      <w:ilvl w:val="0"/>
                      <w:numId w:val="0"/>
                    </w:numPr>
                    <w:ind w:leftChars="0"/>
                    <w:jc w:val="left"/>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2.</w:t>
                  </w:r>
                  <w:r>
                    <w:rPr>
                      <w:rFonts w:hint="default" w:ascii="Times New Roman" w:hAnsi="Times New Roman" w:eastAsia="宋体" w:cs="Times New Roman"/>
                      <w:bCs/>
                      <w:color w:val="auto"/>
                      <w:sz w:val="21"/>
                      <w:szCs w:val="21"/>
                      <w:lang w:val="en-US" w:eastAsia="zh-CN"/>
                    </w:rPr>
                    <w:t>煤矿采区回采率、原煤入选率、煤矸石与共伴生矿产资源综合利用率等三项指标符合自然资源部发布的《煤炭资源合理开发利用“三率”指标要求(试行)》。</w:t>
                  </w:r>
                </w:p>
                <w:p w14:paraId="64988E8C">
                  <w:pPr>
                    <w:pStyle w:val="53"/>
                    <w:numPr>
                      <w:ilvl w:val="0"/>
                      <w:numId w:val="0"/>
                    </w:numPr>
                    <w:ind w:leftChars="0"/>
                    <w:jc w:val="left"/>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3.2025年，矿山“三率”水平达标率达95%以上，废水利用率达85%以上，固废处理率100%，生产矿山地质环境治理率、矿区可绿化面积覆盖率达100%。</w:t>
                  </w:r>
                </w:p>
              </w:tc>
              <w:tc>
                <w:tcPr>
                  <w:tcW w:w="924" w:type="pct"/>
                  <w:tcBorders>
                    <w:tl2br w:val="nil"/>
                    <w:tr2bl w:val="nil"/>
                  </w:tcBorders>
                  <w:noWrap w:val="0"/>
                  <w:vAlign w:val="center"/>
                </w:tcPr>
                <w:p w14:paraId="5BD06693">
                  <w:pPr>
                    <w:pStyle w:val="53"/>
                    <w:jc w:val="center"/>
                    <w:rPr>
                      <w:rFonts w:hint="eastAsia" w:cs="Times New Roman"/>
                      <w:color w:val="auto"/>
                      <w:sz w:val="21"/>
                      <w:szCs w:val="21"/>
                      <w:lang w:eastAsia="zh-CN"/>
                    </w:rPr>
                  </w:pPr>
                  <w:r>
                    <w:rPr>
                      <w:rFonts w:hint="eastAsia" w:cs="Times New Roman"/>
                      <w:color w:val="auto"/>
                      <w:sz w:val="21"/>
                      <w:szCs w:val="21"/>
                      <w:lang w:eastAsia="zh-CN"/>
                    </w:rPr>
                    <w:t>本项目不涉及</w:t>
                  </w:r>
                </w:p>
              </w:tc>
              <w:tc>
                <w:tcPr>
                  <w:tcW w:w="393" w:type="pct"/>
                  <w:tcBorders>
                    <w:tl2br w:val="nil"/>
                    <w:tr2bl w:val="nil"/>
                  </w:tcBorders>
                  <w:noWrap w:val="0"/>
                  <w:vAlign w:val="center"/>
                </w:tcPr>
                <w:p w14:paraId="2417A1F6">
                  <w:pPr>
                    <w:pStyle w:val="53"/>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符合</w:t>
                  </w:r>
                </w:p>
              </w:tc>
            </w:tr>
          </w:tbl>
          <w:p w14:paraId="109FE0D0">
            <w:pPr>
              <w:pStyle w:val="7"/>
              <w:spacing w:after="0"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综上所述，本项目符合“三线一单”管控要求。</w:t>
            </w:r>
          </w:p>
          <w:p w14:paraId="57B9B92D">
            <w:pPr>
              <w:rPr>
                <w:rFonts w:hint="eastAsia" w:ascii="Times New Roman" w:hAnsi="Times New Roman" w:eastAsia="宋体" w:cs="Times New Roman"/>
                <w:color w:val="auto"/>
                <w:sz w:val="24"/>
                <w:szCs w:val="24"/>
                <w:lang w:val="en-US" w:eastAsia="zh-CN"/>
              </w:rPr>
            </w:pPr>
            <w:r>
              <w:rPr>
                <w:color w:val="auto"/>
              </w:rPr>
              <w:drawing>
                <wp:inline distT="0" distB="0" distL="114300" distR="114300">
                  <wp:extent cx="4478020" cy="3723640"/>
                  <wp:effectExtent l="0" t="0" r="17780" b="1016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pic:cNvPicPr>
                            <a:picLocks noChangeAspect="1"/>
                          </pic:cNvPicPr>
                        </pic:nvPicPr>
                        <pic:blipFill>
                          <a:blip r:embed="rId12"/>
                          <a:stretch>
                            <a:fillRect/>
                          </a:stretch>
                        </pic:blipFill>
                        <pic:spPr>
                          <a:xfrm>
                            <a:off x="0" y="0"/>
                            <a:ext cx="4478020" cy="3723640"/>
                          </a:xfrm>
                          <a:prstGeom prst="rect">
                            <a:avLst/>
                          </a:prstGeom>
                          <a:noFill/>
                          <a:ln w="12700">
                            <a:noFill/>
                          </a:ln>
                        </pic:spPr>
                      </pic:pic>
                    </a:graphicData>
                  </a:graphic>
                </wp:inline>
              </w:drawing>
            </w:r>
            <w:r>
              <w:rPr>
                <w:color w:val="auto"/>
                <w:sz w:val="21"/>
              </w:rPr>
              <mc:AlternateContent>
                <mc:Choice Requires="wps">
                  <w:drawing>
                    <wp:anchor distT="0" distB="0" distL="114300" distR="114300" simplePos="0" relativeHeight="251660288" behindDoc="0" locked="0" layoutInCell="1" allowOverlap="1">
                      <wp:simplePos x="0" y="0"/>
                      <wp:positionH relativeFrom="column">
                        <wp:posOffset>278130</wp:posOffset>
                      </wp:positionH>
                      <wp:positionV relativeFrom="paragraph">
                        <wp:posOffset>1678940</wp:posOffset>
                      </wp:positionV>
                      <wp:extent cx="877570" cy="374015"/>
                      <wp:effectExtent l="6350" t="6350" r="373380" b="610235"/>
                      <wp:wrapNone/>
                      <wp:docPr id="2" name="矩形标注 28"/>
                      <wp:cNvGraphicFramePr/>
                      <a:graphic xmlns:a="http://schemas.openxmlformats.org/drawingml/2006/main">
                        <a:graphicData uri="http://schemas.microsoft.com/office/word/2010/wordprocessingShape">
                          <wps:wsp>
                            <wps:cNvSpPr/>
                            <wps:spPr>
                              <a:xfrm>
                                <a:off x="3086100" y="3568700"/>
                                <a:ext cx="877570" cy="374015"/>
                              </a:xfrm>
                              <a:prstGeom prst="wedgeRectCallout">
                                <a:avLst>
                                  <a:gd name="adj1" fmla="val 86903"/>
                                  <a:gd name="adj2" fmla="val 199066"/>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158FE215">
                                  <w:pPr>
                                    <w:jc w:val="center"/>
                                    <w:rPr>
                                      <w:rFonts w:hint="eastAsia" w:eastAsia="宋体"/>
                                      <w:color w:val="FFFFFF"/>
                                      <w:lang w:eastAsia="zh-CN"/>
                                    </w:rPr>
                                  </w:pPr>
                                  <w:r>
                                    <w:rPr>
                                      <w:rFonts w:hint="eastAsia"/>
                                      <w:color w:val="FFFFFF"/>
                                      <w:lang w:eastAsia="zh-CN"/>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28" o:spid="_x0000_s1026" o:spt="61" type="#_x0000_t61" style="position:absolute;left:0pt;margin-left:21.9pt;margin-top:132.2pt;height:29.45pt;width:69.1pt;z-index:251660288;v-text-anchor:middle;mso-width-relative:page;mso-height-relative:page;" fillcolor="#5B9BD5 [3204]" filled="t" stroked="t" coordsize="21600,21600" o:gfxdata="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Lqa2wvZAAAACgEAAA8AAAAAAAAAAQAgAAAAIgAAAGRycy9kb3ducmV2LnhtbFBLAQIUABQAAAAI&#10;AIdO4kA7yDbJ0AIAAJEFAAAOAAAAAAAAAAEAIAAAACgBAABkcnMvZTJvRG9jLnhtbFBLBQYAAAAA&#10;BgAGAFkBAABqBgAAAAA=&#10;" adj="29571,53798">
                      <v:fill on="t" focussize="0,0"/>
                      <v:stroke weight="1pt" color="#2E75B6 [2404]" miterlimit="8" joinstyle="miter"/>
                      <v:imagedata o:title=""/>
                      <o:lock v:ext="edit" aspectratio="f"/>
                      <v:textbox>
                        <w:txbxContent>
                          <w:p w14:paraId="158FE215">
                            <w:pPr>
                              <w:jc w:val="center"/>
                              <w:rPr>
                                <w:rFonts w:hint="eastAsia" w:eastAsia="宋体"/>
                                <w:color w:val="FFFFFF"/>
                                <w:lang w:eastAsia="zh-CN"/>
                              </w:rPr>
                            </w:pPr>
                            <w:r>
                              <w:rPr>
                                <w:rFonts w:hint="eastAsia"/>
                                <w:color w:val="FFFFFF"/>
                                <w:lang w:eastAsia="zh-CN"/>
                              </w:rPr>
                              <w:t>本项目</w:t>
                            </w:r>
                          </w:p>
                        </w:txbxContent>
                      </v:textbox>
                    </v:shape>
                  </w:pict>
                </mc:Fallback>
              </mc:AlternateContent>
            </w:r>
          </w:p>
          <w:p w14:paraId="58202E5F">
            <w:pPr>
              <w:pStyle w:val="25"/>
              <w:rPr>
                <w:rFonts w:hint="default" w:ascii="Times New Roman" w:hAnsi="Times New Roman" w:cs="Times New Roman"/>
                <w:color w:val="auto"/>
              </w:rPr>
            </w:pPr>
            <w:r>
              <w:rPr>
                <w:rFonts w:hint="eastAsia" w:ascii="Times New Roman" w:hAnsi="Times New Roman" w:cs="Times New Roman"/>
                <w:color w:val="auto"/>
                <w:lang w:val="en-US" w:eastAsia="zh-CN"/>
              </w:rPr>
              <w:t>图</w:t>
            </w:r>
            <w:r>
              <w:rPr>
                <w:rFonts w:hint="default" w:ascii="Times New Roman" w:hAnsi="Times New Roman" w:cs="Times New Roman"/>
                <w:color w:val="auto"/>
                <w:lang w:val="en-US" w:eastAsia="zh-CN"/>
              </w:rPr>
              <w:t>1</w:t>
            </w:r>
            <w:r>
              <w:rPr>
                <w:rFonts w:hint="eastAsia" w:ascii="Times New Roman" w:hAnsi="Times New Roman" w:cs="Times New Roman"/>
                <w:color w:val="auto"/>
                <w:lang w:val="en-US" w:eastAsia="zh-CN"/>
              </w:rPr>
              <w:t>-1    管控单元位置图</w:t>
            </w:r>
          </w:p>
          <w:p w14:paraId="0C67B16E">
            <w:pPr>
              <w:pStyle w:val="7"/>
              <w:spacing w:after="0" w:line="360" w:lineRule="auto"/>
              <w:ind w:firstLine="482" w:firstLineChars="200"/>
              <w:rPr>
                <w:rFonts w:hint="default" w:ascii="Times New Roman" w:hAnsi="Times New Roman" w:eastAsia="宋体" w:cs="Times New Roman"/>
                <w:b/>
                <w:bCs/>
                <w:color w:val="auto"/>
                <w:sz w:val="24"/>
                <w:lang w:val="en-US" w:eastAsia="zh-CN"/>
              </w:rPr>
            </w:pPr>
            <w:r>
              <w:rPr>
                <w:rFonts w:hint="eastAsia" w:ascii="Times New Roman" w:hAnsi="Times New Roman" w:eastAsia="宋体" w:cs="Times New Roman"/>
                <w:b/>
                <w:bCs/>
                <w:color w:val="auto"/>
                <w:sz w:val="24"/>
                <w:lang w:val="en-US" w:eastAsia="zh-CN"/>
              </w:rPr>
              <w:t>3、与《呼伦贝尔市“十四五”生态环境保护规划》符合性分析</w:t>
            </w:r>
          </w:p>
          <w:p w14:paraId="161EB6B0">
            <w:pPr>
              <w:pStyle w:val="7"/>
              <w:spacing w:after="0"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推进低空扬尘污染综合防治。建立施工工地管理清单和扬尘控制责任制度，做到工地周边围挡、物料堆放覆盖、土方开挖湿法作业、路面硬化、出入车辆清洗、渣土车辆密闭运输“六个百分之百”。强化城区道路扬尘管控，规范道路清扫保洁作业规程提高春季清扫频次。加强城市裸露地面、堆场、料场规范化整治确保扬尘污染防治措施落实到位。加快推进绿色矿山建设,加大露天矿山综合整治力度,强化矿产开采、储存、装卸、运输过程污染防治和减尘抑尘</w:t>
            </w:r>
            <w:r>
              <w:rPr>
                <w:rFonts w:hint="eastAsia" w:cs="Times New Roman"/>
                <w:color w:val="auto"/>
                <w:sz w:val="24"/>
                <w:lang w:val="en-US" w:eastAsia="zh-CN"/>
              </w:rPr>
              <w:t>，</w:t>
            </w:r>
            <w:r>
              <w:rPr>
                <w:rFonts w:hint="eastAsia" w:ascii="Times New Roman" w:hAnsi="Times New Roman" w:eastAsia="宋体" w:cs="Times New Roman"/>
                <w:color w:val="auto"/>
                <w:sz w:val="24"/>
                <w:lang w:val="en-US" w:eastAsia="zh-CN"/>
              </w:rPr>
              <w:t>到2025年底前全部达到绿色矿山标准。全面推进秸秆及农林废弃物资源利用，从源头控制秸秆焚烧，强化各级政府的主体责任，以网格化监管方式，严控农作物秸秆及农林废弃物露天焚烧。</w:t>
            </w:r>
          </w:p>
          <w:p w14:paraId="5F86F47B">
            <w:pPr>
              <w:pStyle w:val="7"/>
              <w:spacing w:after="0" w:line="360" w:lineRule="auto"/>
              <w:ind w:firstLine="480" w:firstLineChars="200"/>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本项目</w:t>
            </w:r>
            <w:r>
              <w:rPr>
                <w:rFonts w:hint="default" w:ascii="Times New Roman" w:hAnsi="Times New Roman" w:eastAsia="宋体" w:cs="Times New Roman"/>
                <w:color w:val="auto"/>
                <w:sz w:val="24"/>
                <w:lang w:val="en-US" w:eastAsia="zh-CN"/>
              </w:rPr>
              <w:t>在施工场地对施工车辆必须实施限速行驶，禁止超载，选择对项目周边环境影响较小的运输路线，定时对运输路线进行洒水抑尘并清扫。</w:t>
            </w:r>
            <w:r>
              <w:rPr>
                <w:rFonts w:hint="eastAsia" w:ascii="Times New Roman" w:hAnsi="Times New Roman" w:eastAsia="宋体" w:cs="Times New Roman"/>
                <w:color w:val="auto"/>
                <w:sz w:val="24"/>
                <w:lang w:val="en-US" w:eastAsia="zh-CN"/>
              </w:rPr>
              <w:t>施工区采取</w:t>
            </w:r>
            <w:r>
              <w:rPr>
                <w:rFonts w:hint="default" w:ascii="Times New Roman" w:hAnsi="Times New Roman" w:eastAsia="宋体" w:cs="Times New Roman"/>
                <w:color w:val="auto"/>
                <w:sz w:val="24"/>
                <w:lang w:val="en-US" w:eastAsia="zh-CN"/>
              </w:rPr>
              <w:t>湿法作业</w:t>
            </w:r>
            <w:r>
              <w:rPr>
                <w:rFonts w:hint="eastAsia" w:ascii="Times New Roman" w:hAnsi="Times New Roman" w:eastAsia="宋体" w:cs="Times New Roman"/>
                <w:color w:val="auto"/>
                <w:sz w:val="24"/>
                <w:lang w:val="en-US" w:eastAsia="zh-CN"/>
              </w:rPr>
              <w:t>。井下掘进施工过程，应使用低毒、低挥发性钻井液添加剂，减少挥发性和有毒性废气的产生及排放。且施工过程应尽量使用电驱动的设备，以此替代柴油机械设备，减少废气的产生及排放</w:t>
            </w:r>
            <w:r>
              <w:rPr>
                <w:rFonts w:hint="default" w:ascii="Times New Roman" w:hAnsi="Times New Roman" w:eastAsia="宋体" w:cs="Times New Roman"/>
                <w:color w:val="auto"/>
                <w:sz w:val="24"/>
                <w:lang w:val="en-US" w:eastAsia="zh-CN"/>
              </w:rPr>
              <w:t>。</w:t>
            </w:r>
            <w:r>
              <w:rPr>
                <w:rFonts w:hint="eastAsia" w:ascii="Times New Roman" w:hAnsi="Times New Roman" w:eastAsia="宋体" w:cs="Times New Roman"/>
                <w:color w:val="auto"/>
                <w:sz w:val="24"/>
                <w:lang w:val="en-US" w:eastAsia="zh-CN"/>
              </w:rPr>
              <w:t>因此本项目符合《呼伦贝尔市“十四五”生态环境保护规划》相关要求。</w:t>
            </w:r>
          </w:p>
          <w:p w14:paraId="58EE13CD">
            <w:pPr>
              <w:spacing w:line="360" w:lineRule="auto"/>
              <w:ind w:firstLine="480"/>
              <w:rPr>
                <w:b/>
                <w:bCs/>
                <w:color w:val="auto"/>
                <w:sz w:val="24"/>
              </w:rPr>
            </w:pPr>
            <w:r>
              <w:rPr>
                <w:rFonts w:hint="eastAsia"/>
                <w:b/>
                <w:bCs/>
                <w:color w:val="auto"/>
                <w:sz w:val="24"/>
                <w:lang w:val="en-US" w:eastAsia="zh-CN"/>
              </w:rPr>
              <w:t>4</w:t>
            </w:r>
            <w:r>
              <w:rPr>
                <w:rFonts w:hint="eastAsia"/>
                <w:b/>
                <w:bCs/>
                <w:color w:val="auto"/>
                <w:sz w:val="24"/>
              </w:rPr>
              <w:t>、项目占地符合性分析</w:t>
            </w:r>
          </w:p>
          <w:p w14:paraId="2FCEC38A">
            <w:pPr>
              <w:pStyle w:val="7"/>
              <w:spacing w:after="0"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lang w:val="en-US" w:eastAsia="zh-CN"/>
              </w:rPr>
              <w:t>本项目位于</w:t>
            </w:r>
            <w:r>
              <w:rPr>
                <w:rFonts w:hint="eastAsia" w:ascii="Times New Roman" w:hAnsi="Times New Roman" w:eastAsia="Times New Roman" w:cs="Times New Roman"/>
                <w:color w:val="auto"/>
                <w:sz w:val="24"/>
              </w:rPr>
              <w:t>内蒙古自治区呼伦贝尔市鄂温克族自治旗</w:t>
            </w:r>
            <w:r>
              <w:rPr>
                <w:rFonts w:hint="eastAsia" w:eastAsia="Times New Roman"/>
                <w:color w:val="auto"/>
                <w:sz w:val="24"/>
                <w:szCs w:val="24"/>
                <w:lang w:val="en-US" w:eastAsia="zh-CN"/>
              </w:rPr>
              <w:t>锡尼河东苏木敏东一矿工业场地内</w:t>
            </w:r>
            <w:r>
              <w:rPr>
                <w:rFonts w:hint="eastAsia" w:ascii="Times New Roman" w:hAnsi="Times New Roman" w:eastAsia="宋体" w:cs="Times New Roman"/>
                <w:color w:val="auto"/>
                <w:sz w:val="24"/>
                <w:lang w:val="en-US" w:eastAsia="zh-CN"/>
              </w:rPr>
              <w:t>，</w:t>
            </w:r>
            <w:r>
              <w:rPr>
                <w:color w:val="auto"/>
                <w:sz w:val="24"/>
              </w:rPr>
              <w:t>本项目周边无自然保护区、风景名胜区、饮用水源地等特殊敏感保护地，区域为工矿区生态环境，植被稀少，未发现珍稀野生动物和保护植物，区域生态环境敏感度低。</w:t>
            </w:r>
            <w:r>
              <w:rPr>
                <w:rFonts w:hint="eastAsia"/>
                <w:color w:val="auto"/>
                <w:sz w:val="24"/>
                <w:lang w:val="en-US" w:eastAsia="zh-CN"/>
              </w:rPr>
              <w:t>项目区和最近的居民区距离较远，因此，本项目选址合理</w:t>
            </w:r>
            <w:r>
              <w:rPr>
                <w:rFonts w:hint="eastAsia" w:ascii="Times New Roman" w:hAnsi="Times New Roman" w:eastAsia="宋体" w:cs="Times New Roman"/>
                <w:color w:val="auto"/>
                <w:sz w:val="24"/>
                <w:szCs w:val="24"/>
                <w:lang w:val="en-US" w:eastAsia="zh-CN"/>
              </w:rPr>
              <w:t>。</w:t>
            </w:r>
          </w:p>
          <w:p w14:paraId="28468793">
            <w:pPr>
              <w:rPr>
                <w:rFonts w:hint="eastAsia" w:ascii="Times New Roman" w:hAnsi="Times New Roman" w:eastAsia="宋体" w:cs="Times New Roman"/>
                <w:color w:val="auto"/>
                <w:sz w:val="24"/>
                <w:szCs w:val="24"/>
                <w:lang w:val="en-US" w:eastAsia="zh-CN"/>
              </w:rPr>
            </w:pPr>
          </w:p>
          <w:p w14:paraId="479EB1CD">
            <w:pPr>
              <w:pStyle w:val="18"/>
              <w:rPr>
                <w:rFonts w:hint="eastAsia" w:ascii="Times New Roman" w:hAnsi="Times New Roman" w:eastAsia="宋体" w:cs="Times New Roman"/>
                <w:color w:val="auto"/>
                <w:sz w:val="24"/>
                <w:szCs w:val="24"/>
                <w:lang w:val="en-US" w:eastAsia="zh-CN"/>
              </w:rPr>
            </w:pPr>
          </w:p>
          <w:p w14:paraId="07099F7C">
            <w:pPr>
              <w:pStyle w:val="17"/>
              <w:rPr>
                <w:rFonts w:hint="eastAsia" w:ascii="Times New Roman" w:hAnsi="Times New Roman" w:eastAsia="宋体" w:cs="Times New Roman"/>
                <w:color w:val="auto"/>
                <w:sz w:val="24"/>
                <w:szCs w:val="24"/>
                <w:lang w:val="en-US" w:eastAsia="zh-CN"/>
              </w:rPr>
            </w:pPr>
          </w:p>
          <w:p w14:paraId="4AC9090B">
            <w:pPr>
              <w:rPr>
                <w:rFonts w:hint="eastAsia" w:ascii="Times New Roman" w:hAnsi="Times New Roman" w:eastAsia="宋体" w:cs="Times New Roman"/>
                <w:color w:val="auto"/>
                <w:sz w:val="24"/>
                <w:szCs w:val="24"/>
                <w:lang w:val="en-US" w:eastAsia="zh-CN"/>
              </w:rPr>
            </w:pPr>
          </w:p>
          <w:p w14:paraId="374B27E4">
            <w:pPr>
              <w:pStyle w:val="18"/>
              <w:rPr>
                <w:rFonts w:hint="eastAsia" w:ascii="Times New Roman" w:hAnsi="Times New Roman" w:eastAsia="宋体" w:cs="Times New Roman"/>
                <w:color w:val="auto"/>
                <w:sz w:val="24"/>
                <w:szCs w:val="24"/>
                <w:lang w:val="en-US" w:eastAsia="zh-CN"/>
              </w:rPr>
            </w:pPr>
          </w:p>
          <w:p w14:paraId="73126EC6">
            <w:pPr>
              <w:pStyle w:val="17"/>
              <w:rPr>
                <w:rFonts w:hint="eastAsia" w:ascii="Times New Roman" w:hAnsi="Times New Roman" w:eastAsia="宋体" w:cs="Times New Roman"/>
                <w:color w:val="auto"/>
                <w:sz w:val="24"/>
                <w:szCs w:val="24"/>
                <w:lang w:val="en-US" w:eastAsia="zh-CN"/>
              </w:rPr>
            </w:pPr>
          </w:p>
          <w:p w14:paraId="0AC77CFA">
            <w:pPr>
              <w:rPr>
                <w:rFonts w:hint="eastAsia" w:ascii="Times New Roman" w:hAnsi="Times New Roman" w:eastAsia="宋体" w:cs="Times New Roman"/>
                <w:color w:val="auto"/>
                <w:sz w:val="24"/>
                <w:szCs w:val="24"/>
                <w:lang w:val="en-US" w:eastAsia="zh-CN"/>
              </w:rPr>
            </w:pPr>
          </w:p>
          <w:p w14:paraId="24815633">
            <w:pPr>
              <w:pStyle w:val="17"/>
              <w:rPr>
                <w:rFonts w:hint="eastAsia" w:ascii="Times New Roman" w:hAnsi="Times New Roman" w:eastAsia="宋体" w:cs="Times New Roman"/>
                <w:color w:val="auto"/>
                <w:sz w:val="24"/>
                <w:szCs w:val="24"/>
                <w:lang w:val="en-US" w:eastAsia="zh-CN"/>
              </w:rPr>
            </w:pPr>
          </w:p>
          <w:p w14:paraId="36BCF2F5">
            <w:pPr>
              <w:rPr>
                <w:rFonts w:hint="eastAsia" w:ascii="Times New Roman" w:hAnsi="Times New Roman" w:eastAsia="宋体" w:cs="Times New Roman"/>
                <w:color w:val="auto"/>
                <w:sz w:val="24"/>
                <w:szCs w:val="24"/>
                <w:lang w:val="en-US" w:eastAsia="zh-CN"/>
              </w:rPr>
            </w:pPr>
          </w:p>
          <w:p w14:paraId="064DD331">
            <w:pPr>
              <w:pStyle w:val="18"/>
              <w:rPr>
                <w:rFonts w:hint="eastAsia" w:ascii="Times New Roman" w:hAnsi="Times New Roman" w:eastAsia="宋体" w:cs="Times New Roman"/>
                <w:color w:val="auto"/>
                <w:sz w:val="24"/>
                <w:szCs w:val="24"/>
                <w:lang w:val="en-US" w:eastAsia="zh-CN"/>
              </w:rPr>
            </w:pPr>
          </w:p>
          <w:p w14:paraId="1C5D2FD7">
            <w:pPr>
              <w:pStyle w:val="17"/>
              <w:rPr>
                <w:color w:val="auto"/>
              </w:rPr>
            </w:pPr>
          </w:p>
        </w:tc>
      </w:tr>
    </w:tbl>
    <w:p w14:paraId="430C2994">
      <w:pPr>
        <w:pStyle w:val="18"/>
        <w:ind w:left="0" w:leftChars="0" w:firstLine="0"/>
        <w:rPr>
          <w:rFonts w:eastAsia="Times New Roman"/>
          <w:color w:val="auto"/>
          <w:szCs w:val="21"/>
        </w:rPr>
      </w:pPr>
    </w:p>
    <w:p w14:paraId="4D88CD30">
      <w:pPr>
        <w:spacing w:after="120"/>
        <w:rPr>
          <w:rFonts w:eastAsia="Times New Roman"/>
          <w:color w:val="auto"/>
          <w:szCs w:val="21"/>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7E3A905D">
      <w:pPr>
        <w:pStyle w:val="2"/>
        <w:spacing w:line="360" w:lineRule="auto"/>
        <w:jc w:val="center"/>
        <w:rPr>
          <w:rFonts w:eastAsia="Times New Roman"/>
          <w:color w:val="auto"/>
          <w:sz w:val="32"/>
          <w:szCs w:val="32"/>
        </w:rPr>
      </w:pPr>
      <w:r>
        <w:rPr>
          <w:rFonts w:eastAsia="Times New Roman"/>
          <w:color w:val="auto"/>
          <w:sz w:val="32"/>
          <w:szCs w:val="32"/>
        </w:rPr>
        <w:t>二、建设内容</w:t>
      </w:r>
    </w:p>
    <w:tbl>
      <w:tblPr>
        <w:tblStyle w:val="19"/>
        <w:tblW w:w="899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8534"/>
      </w:tblGrid>
      <w:tr w14:paraId="66F3C19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56" w:type="dxa"/>
            <w:vAlign w:val="center"/>
          </w:tcPr>
          <w:p w14:paraId="01739468">
            <w:pPr>
              <w:spacing w:line="360" w:lineRule="auto"/>
              <w:jc w:val="center"/>
              <w:rPr>
                <w:rFonts w:eastAsia="Times New Roman"/>
                <w:color w:val="auto"/>
                <w:sz w:val="24"/>
              </w:rPr>
            </w:pPr>
            <w:r>
              <w:rPr>
                <w:rFonts w:eastAsia="Times New Roman"/>
                <w:color w:val="auto"/>
                <w:sz w:val="24"/>
              </w:rPr>
              <w:t>地理</w:t>
            </w:r>
          </w:p>
          <w:p w14:paraId="25AFACC7">
            <w:pPr>
              <w:spacing w:line="360" w:lineRule="auto"/>
              <w:jc w:val="center"/>
              <w:rPr>
                <w:rFonts w:eastAsia="Times New Roman"/>
                <w:color w:val="auto"/>
                <w:sz w:val="24"/>
              </w:rPr>
            </w:pPr>
            <w:r>
              <w:rPr>
                <w:rFonts w:eastAsia="Times New Roman"/>
                <w:color w:val="auto"/>
                <w:sz w:val="24"/>
              </w:rPr>
              <w:t>位置</w:t>
            </w:r>
          </w:p>
        </w:tc>
        <w:tc>
          <w:tcPr>
            <w:tcW w:w="8534" w:type="dxa"/>
            <w:vAlign w:val="center"/>
          </w:tcPr>
          <w:p w14:paraId="2BA5C5FF">
            <w:pPr>
              <w:spacing w:line="360" w:lineRule="auto"/>
              <w:jc w:val="center"/>
              <w:rPr>
                <w:color w:val="auto"/>
              </w:rPr>
            </w:pPr>
            <w:r>
              <w:rPr>
                <w:rFonts w:ascii="Times New Roman" w:hAnsi="Times New Roman" w:eastAsia="Times New Roman" w:cs="Times New Roman"/>
                <w:color w:val="auto"/>
                <w:sz w:val="24"/>
              </w:rPr>
              <w:t>本工程位于</w:t>
            </w:r>
            <w:r>
              <w:rPr>
                <w:rFonts w:hint="eastAsia" w:ascii="Times New Roman" w:hAnsi="Times New Roman" w:eastAsia="Times New Roman" w:cs="Times New Roman"/>
                <w:color w:val="auto"/>
                <w:sz w:val="24"/>
              </w:rPr>
              <w:t>内蒙古自治区呼伦贝尔市鄂温克族自治旗</w:t>
            </w:r>
            <w:r>
              <w:rPr>
                <w:rFonts w:hint="eastAsia" w:eastAsia="Times New Roman"/>
                <w:color w:val="auto"/>
                <w:sz w:val="24"/>
                <w:szCs w:val="24"/>
                <w:lang w:val="en-US" w:eastAsia="zh-CN"/>
              </w:rPr>
              <w:t>锡尼河东苏木敏东一矿工业场地内</w:t>
            </w:r>
            <w:r>
              <w:rPr>
                <w:rFonts w:ascii="Times New Roman" w:hAnsi="Times New Roman" w:eastAsia="Times New Roman" w:cs="Times New Roman"/>
                <w:color w:val="auto"/>
                <w:sz w:val="24"/>
              </w:rPr>
              <w:t>。</w:t>
            </w:r>
          </w:p>
        </w:tc>
      </w:tr>
      <w:tr w14:paraId="5BF0D1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514" w:hRule="atLeast"/>
          <w:jc w:val="center"/>
        </w:trPr>
        <w:tc>
          <w:tcPr>
            <w:tcW w:w="456" w:type="dxa"/>
            <w:vAlign w:val="center"/>
          </w:tcPr>
          <w:p w14:paraId="6230E6AA">
            <w:pPr>
              <w:spacing w:line="360" w:lineRule="auto"/>
              <w:jc w:val="center"/>
              <w:rPr>
                <w:rFonts w:eastAsia="Times New Roman"/>
                <w:color w:val="auto"/>
                <w:sz w:val="24"/>
              </w:rPr>
            </w:pPr>
            <w:r>
              <w:rPr>
                <w:rFonts w:eastAsia="Times New Roman"/>
                <w:color w:val="auto"/>
                <w:sz w:val="24"/>
              </w:rPr>
              <w:t>项目组成及规模</w:t>
            </w:r>
          </w:p>
        </w:tc>
        <w:tc>
          <w:tcPr>
            <w:tcW w:w="8534" w:type="dxa"/>
            <w:vAlign w:val="center"/>
          </w:tcPr>
          <w:p w14:paraId="36F222C3">
            <w:pPr>
              <w:spacing w:line="360" w:lineRule="auto"/>
              <w:ind w:firstLine="482" w:firstLineChars="200"/>
              <w:rPr>
                <w:rFonts w:hint="default" w:ascii="Times New Roman" w:hAnsi="Times New Roman" w:eastAsia="宋体" w:cs="Times New Roman"/>
                <w:b/>
                <w:bCs/>
                <w:color w:val="auto"/>
                <w:sz w:val="24"/>
                <w:szCs w:val="32"/>
                <w:lang w:val="en-US" w:eastAsia="zh-CN"/>
              </w:rPr>
            </w:pPr>
            <w:r>
              <w:rPr>
                <w:rFonts w:hint="eastAsia" w:ascii="Times New Roman" w:hAnsi="Times New Roman" w:eastAsia="宋体" w:cs="Times New Roman"/>
                <w:b/>
                <w:bCs/>
                <w:color w:val="auto"/>
                <w:sz w:val="24"/>
                <w:szCs w:val="32"/>
                <w:lang w:val="en-US" w:eastAsia="zh-CN"/>
              </w:rPr>
              <w:t>1、项目由来</w:t>
            </w:r>
          </w:p>
          <w:p w14:paraId="508C0EB5">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内蒙古蒙东能源有限公司隶属于国家能源集团，在呼伦贝尔市注册成立。公司主要涉足矿业采掘、电力生产、技术咨询和投资。公司优势互补，积极实施煤电一体化发展战略，以实现双赢为目的，以强大的实力开发呼伦贝尔地区的煤炭资源和电力资源。</w:t>
            </w:r>
          </w:p>
          <w:p w14:paraId="507B696E">
            <w:pPr>
              <w:spacing w:line="360" w:lineRule="auto"/>
              <w:ind w:firstLine="480" w:firstLineChars="200"/>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2006年4月，由内蒙古自治区环境科学研究院编制完成《内蒙古伊敏河东矿区第一煤矿项目》环境影响报告书，并于2007年1月30日取得原国家环境保护总局关于本项目的环评批复，批复文号为环审【2007】37号。</w:t>
            </w:r>
            <w:r>
              <w:rPr>
                <w:rFonts w:hint="default" w:ascii="Times New Roman" w:hAnsi="Times New Roman" w:eastAsia="宋体" w:cs="Times New Roman"/>
                <w:color w:val="auto"/>
                <w:sz w:val="24"/>
                <w:szCs w:val="32"/>
                <w:lang w:val="en-US" w:eastAsia="zh-CN"/>
              </w:rPr>
              <w:t>2017</w:t>
            </w:r>
            <w:r>
              <w:rPr>
                <w:rFonts w:hint="eastAsia" w:ascii="Times New Roman" w:hAnsi="Times New Roman" w:eastAsia="宋体" w:cs="Times New Roman"/>
                <w:color w:val="auto"/>
                <w:sz w:val="24"/>
                <w:szCs w:val="32"/>
                <w:lang w:val="en-US" w:eastAsia="zh-CN"/>
              </w:rPr>
              <w:t>年</w:t>
            </w:r>
            <w:r>
              <w:rPr>
                <w:rFonts w:hint="default" w:ascii="Times New Roman" w:hAnsi="Times New Roman" w:eastAsia="宋体" w:cs="Times New Roman"/>
                <w:color w:val="auto"/>
                <w:sz w:val="24"/>
                <w:szCs w:val="32"/>
                <w:lang w:val="en-US" w:eastAsia="zh-CN"/>
              </w:rPr>
              <w:t>11</w:t>
            </w:r>
            <w:r>
              <w:rPr>
                <w:rFonts w:hint="eastAsia" w:ascii="Times New Roman" w:hAnsi="Times New Roman" w:eastAsia="宋体" w:cs="Times New Roman"/>
                <w:color w:val="auto"/>
                <w:sz w:val="24"/>
                <w:szCs w:val="32"/>
                <w:lang w:val="en-US" w:eastAsia="zh-CN"/>
              </w:rPr>
              <w:t>月</w:t>
            </w:r>
            <w:r>
              <w:rPr>
                <w:rFonts w:hint="default" w:ascii="Times New Roman" w:hAnsi="Times New Roman" w:eastAsia="宋体" w:cs="Times New Roman"/>
                <w:color w:val="auto"/>
                <w:sz w:val="24"/>
                <w:szCs w:val="32"/>
                <w:lang w:val="en-US" w:eastAsia="zh-CN"/>
              </w:rPr>
              <w:t>29</w:t>
            </w:r>
            <w:r>
              <w:rPr>
                <w:rFonts w:hint="eastAsia" w:ascii="Times New Roman" w:hAnsi="Times New Roman" w:eastAsia="宋体" w:cs="Times New Roman"/>
                <w:color w:val="auto"/>
                <w:sz w:val="24"/>
                <w:szCs w:val="32"/>
                <w:lang w:val="en-US" w:eastAsia="zh-CN"/>
              </w:rPr>
              <w:t>日</w:t>
            </w:r>
            <w:r>
              <w:rPr>
                <w:rFonts w:hint="eastAsia" w:cs="Times New Roman"/>
                <w:color w:val="auto"/>
                <w:sz w:val="24"/>
                <w:szCs w:val="32"/>
                <w:lang w:val="en-US" w:eastAsia="zh-CN"/>
              </w:rPr>
              <w:t>，</w:t>
            </w:r>
            <w:r>
              <w:rPr>
                <w:rFonts w:hint="eastAsia" w:ascii="Times New Roman" w:hAnsi="Times New Roman" w:eastAsia="宋体" w:cs="Times New Roman"/>
                <w:color w:val="auto"/>
                <w:sz w:val="24"/>
                <w:szCs w:val="32"/>
                <w:lang w:val="en-US" w:eastAsia="zh-CN"/>
              </w:rPr>
              <w:t>内蒙古蒙东能源有限公司</w:t>
            </w:r>
            <w:r>
              <w:rPr>
                <w:rFonts w:hint="eastAsia" w:cs="Times New Roman"/>
                <w:color w:val="auto"/>
                <w:sz w:val="24"/>
                <w:szCs w:val="32"/>
                <w:lang w:val="en-US" w:eastAsia="zh-CN"/>
              </w:rPr>
              <w:t>对部分环保措施进行自主验收并顺利通过。2019年4月27日，</w:t>
            </w:r>
            <w:r>
              <w:rPr>
                <w:rFonts w:hint="eastAsia" w:ascii="Times New Roman" w:hAnsi="Times New Roman" w:eastAsia="宋体" w:cs="Times New Roman"/>
                <w:color w:val="auto"/>
                <w:sz w:val="24"/>
                <w:szCs w:val="32"/>
                <w:lang w:val="en-US" w:eastAsia="zh-CN"/>
              </w:rPr>
              <w:t>内蒙古蒙东能源有限公司</w:t>
            </w:r>
            <w:r>
              <w:rPr>
                <w:rFonts w:hint="eastAsia" w:cs="Times New Roman"/>
                <w:color w:val="auto"/>
                <w:sz w:val="24"/>
                <w:szCs w:val="32"/>
                <w:lang w:val="en-US" w:eastAsia="zh-CN"/>
              </w:rPr>
              <w:t>对废水、固废以及噪声相关内容进行自主验收，并顺利通过。后由于因新修订的《中华人民共和国固体废物污染环境防治法》于2020年9月1日正式实施，内蒙古蒙东能源有限公司敏东一矿于2020年9月2日再次对固废项目进行验收，验收顺利通过。</w:t>
            </w:r>
          </w:p>
          <w:p w14:paraId="559F8A3A">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敏东一矿设计生产能力5.0Mt/a，采用立井开拓，主立井净直径6.0m，井筒内布置一对32t箕斗，担负煤炭提升任务；副立井直径为7.5m，井筒内布置一对1.5t二层四车罐笼（一宽一窄），担负人员、设备、材料、矸石等提升任务；回风立井直径为6.0m，担负矿井回风任务。</w:t>
            </w:r>
          </w:p>
          <w:p w14:paraId="202DDB17">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矿井目前通过一井一区一面达产，井下布置一个综放工作面，为北一盘区Ⅰ0216302综放工作面，开采16-3煤，采用综采放顶煤开采工艺，采高10.5m，割煤高度3.0m。放煤高度7.5m，采放比1:2.5。矿井配备3个掘进工作面，其中2个综掘工作面，1个普掘工作面。井下煤炭运输采用带式输送机，大巷和回采工作面巷道辅助运输采用无极绳连续牵引车牵引矿车运输，井底车场采用蓄电池机车运输。</w:t>
            </w:r>
          </w:p>
          <w:p w14:paraId="1A3AD01C">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敏东一矿2020年原煤产量为4.35Mt，2021年产量为4.61Mt，2022年产量为4.36Mt，自矿井投产以来，最高产量即为2021年的4.61Mt。</w:t>
            </w:r>
          </w:p>
          <w:p w14:paraId="32610B1C">
            <w:pPr>
              <w:spacing w:line="360" w:lineRule="auto"/>
              <w:ind w:firstLine="480" w:firstLineChars="200"/>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敏东一矿属“三软”围岩，水文条件复杂，围岩遇水蠕变；同时回采巷道受采动变形影响，巷道收敛较为严重，只能依靠人工拉底、翻修、补强等方式满足安全生产需求。辅助运输系统效率低下导致大量的拉底翻修工程进展很慢，严重影响工作面回采进度，工作面平均日推进度3.2m，巷道收敛变形严重时，日均推进度仅为0.8m，严重制约矿井产能的提高。同时，在工作面设备回撤安装液压支架期间，为确保平板车在巷道运行安全，绞车运行速度按照0.15m/s速度提放，单趟提放时间近5小时，搬家倒面占用辅助运输系统60天以上，因回撤安装属集中作业期，直接影响了生产材料的供应、巷道的维修，进而影响矿井产能的提高。</w:t>
            </w:r>
          </w:p>
          <w:p w14:paraId="10144DBA">
            <w:pPr>
              <w:spacing w:line="360" w:lineRule="auto"/>
              <w:ind w:firstLine="480" w:firstLineChars="200"/>
              <w:rPr>
                <w:rFonts w:hint="eastAsia" w:ascii="Times New Roman" w:hAnsi="Times New Roman" w:eastAsia="宋体" w:cs="Times New Roman"/>
                <w:color w:val="auto"/>
                <w:sz w:val="24"/>
                <w:szCs w:val="32"/>
                <w:lang w:val="en-US" w:eastAsia="zh-CN"/>
              </w:rPr>
            </w:pPr>
            <w:bookmarkStart w:id="1" w:name="_Hlk135916949"/>
            <w:r>
              <w:rPr>
                <w:rFonts w:hint="eastAsia" w:ascii="Times New Roman" w:hAnsi="Times New Roman" w:eastAsia="宋体" w:cs="Times New Roman"/>
                <w:color w:val="auto"/>
                <w:sz w:val="24"/>
                <w:szCs w:val="32"/>
                <w:lang w:val="en-US" w:eastAsia="zh-CN"/>
              </w:rPr>
              <w:t>为此，内蒙古蒙东能源有限公司决定在工业场地东南排矸场（场地方案一）布置缓坡斜井，全矿井采用无轨辅助运输系统，由地面到工作面实现连续运输</w:t>
            </w:r>
            <w:r>
              <w:rPr>
                <w:rFonts w:hint="eastAsia" w:cs="Times New Roman"/>
                <w:color w:val="auto"/>
                <w:sz w:val="24"/>
                <w:szCs w:val="32"/>
                <w:lang w:val="en-US" w:eastAsia="zh-CN"/>
              </w:rPr>
              <w:t>，本斜井不用于煤炭拉运，仅仅用于设备及人员的运输</w:t>
            </w:r>
            <w:r>
              <w:rPr>
                <w:rFonts w:hint="eastAsia" w:ascii="Times New Roman" w:hAnsi="Times New Roman" w:eastAsia="宋体" w:cs="Times New Roman"/>
                <w:color w:val="auto"/>
                <w:sz w:val="24"/>
                <w:szCs w:val="32"/>
                <w:lang w:val="en-US" w:eastAsia="zh-CN"/>
              </w:rPr>
              <w:t>。缓坡斜井井口标高为+710m，井筒坡度为6°，井筒分为两段，总长度为5398m。第一段落底至南一采区中部，落底标高为+455m，第二段兼做集中辅助运输大巷与井底车场巷道相连，长度为2885m。</w:t>
            </w:r>
            <w:bookmarkEnd w:id="1"/>
            <w:r>
              <w:rPr>
                <w:rFonts w:hint="eastAsia" w:ascii="Times New Roman" w:hAnsi="Times New Roman" w:eastAsia="宋体" w:cs="Times New Roman"/>
                <w:color w:val="auto"/>
                <w:sz w:val="24"/>
                <w:szCs w:val="32"/>
                <w:lang w:val="en-US" w:eastAsia="zh-CN"/>
              </w:rPr>
              <w:t>项目移交时井巷工程量5517.50m，掘进总体积155049.00m</w:t>
            </w:r>
            <w:r>
              <w:rPr>
                <w:rFonts w:hint="eastAsia" w:ascii="Times New Roman" w:hAnsi="Times New Roman" w:eastAsia="宋体" w:cs="Times New Roman"/>
                <w:color w:val="auto"/>
                <w:sz w:val="24"/>
                <w:szCs w:val="32"/>
                <w:vertAlign w:val="superscript"/>
                <w:lang w:val="en-US" w:eastAsia="zh-CN"/>
              </w:rPr>
              <w:t>3</w:t>
            </w:r>
            <w:r>
              <w:rPr>
                <w:rFonts w:hint="eastAsia" w:ascii="Times New Roman" w:hAnsi="Times New Roman" w:eastAsia="宋体" w:cs="Times New Roman"/>
                <w:color w:val="auto"/>
                <w:sz w:val="24"/>
                <w:szCs w:val="32"/>
                <w:lang w:val="en-US" w:eastAsia="zh-CN"/>
              </w:rPr>
              <w:t>。</w:t>
            </w:r>
          </w:p>
          <w:p w14:paraId="793D38D6">
            <w:pPr>
              <w:spacing w:line="360" w:lineRule="auto"/>
              <w:ind w:firstLine="480" w:firstLineChars="200"/>
              <w:rPr>
                <w:rFonts w:hint="eastAsia" w:ascii="Times New Roman" w:hAnsi="Times New Roman" w:eastAsia="Times New Roman" w:cs="Times New Roman"/>
                <w:color w:val="auto"/>
                <w:sz w:val="24"/>
                <w:szCs w:val="24"/>
                <w:lang w:val="en-US" w:eastAsia="zh-CN"/>
              </w:rPr>
            </w:pPr>
            <w:r>
              <w:rPr>
                <w:rFonts w:hint="eastAsia" w:ascii="Times New Roman" w:hAnsi="Times New Roman" w:eastAsia="宋体" w:cs="Times New Roman"/>
                <w:color w:val="auto"/>
                <w:sz w:val="24"/>
                <w:szCs w:val="32"/>
                <w:lang w:val="en-US" w:eastAsia="zh-CN"/>
              </w:rPr>
              <w:t>依据《中华人民共和国环境影响评价法》、《建设项目环境保护管理条例》的规定，凡从事对环境有影响的建设项目必须进行环境影响评价，使经济建设与环境保护能够协调发展。根据《建设项目环境影响评价分类管理名录（2021年版）》可知，本项目属于“四、煤炭开采和洗选业06风井场地、瓦斯抽放站；矿区修复治理工程（含煤矿火烧区治理工程）”，需编制环境影响报告表。受内蒙古蒙东能源有限公司委托，我公司承担了本项目的环境影响评价工作。我单位接受委托后立即组织环评技术人员赶赴现场进行实地踏勘，并收集建设项目及其它有关资料，根据国家和内蒙古自治区法律、法规、政策、环境影响评价技术导则等有关规定，编制完成了《</w:t>
            </w:r>
            <w:r>
              <w:rPr>
                <w:rFonts w:hint="eastAsia" w:eastAsia="Times New Roman"/>
                <w:color w:val="auto"/>
                <w:sz w:val="24"/>
                <w:szCs w:val="24"/>
                <w:lang w:val="en-US" w:eastAsia="zh-CN"/>
              </w:rPr>
              <w:t>内蒙古蒙东能源有限公司敏东一矿辅助提升及运输系统无轨化改造项目</w:t>
            </w:r>
            <w:r>
              <w:rPr>
                <w:rFonts w:hint="eastAsia" w:ascii="Times New Roman" w:hAnsi="Times New Roman" w:eastAsia="Times New Roman" w:cs="Times New Roman"/>
                <w:color w:val="auto"/>
                <w:sz w:val="24"/>
                <w:szCs w:val="24"/>
                <w:lang w:val="en-US" w:eastAsia="zh-CN"/>
              </w:rPr>
              <w:t>环境影响报告表》，呈报生态环境主管部门审批。</w:t>
            </w:r>
          </w:p>
          <w:p w14:paraId="377B63C7">
            <w:pPr>
              <w:spacing w:line="360" w:lineRule="auto"/>
              <w:ind w:firstLine="482" w:firstLineChars="200"/>
              <w:rPr>
                <w:b/>
                <w:bCs/>
                <w:color w:val="auto"/>
                <w:sz w:val="24"/>
                <w:szCs w:val="22"/>
                <w:lang w:val="zh-CN"/>
              </w:rPr>
            </w:pPr>
            <w:r>
              <w:rPr>
                <w:rFonts w:hint="eastAsia"/>
                <w:b/>
                <w:bCs/>
                <w:color w:val="auto"/>
                <w:sz w:val="24"/>
                <w:szCs w:val="22"/>
                <w:lang w:val="en-US" w:eastAsia="zh-CN"/>
              </w:rPr>
              <w:t>2</w:t>
            </w:r>
            <w:r>
              <w:rPr>
                <w:rFonts w:hint="eastAsia"/>
                <w:b/>
                <w:bCs/>
                <w:color w:val="auto"/>
                <w:sz w:val="24"/>
                <w:szCs w:val="22"/>
                <w:lang w:val="zh-CN"/>
              </w:rPr>
              <w:t>、</w:t>
            </w:r>
            <w:r>
              <w:rPr>
                <w:rFonts w:hint="eastAsia"/>
                <w:b/>
                <w:bCs/>
                <w:color w:val="auto"/>
                <w:sz w:val="24"/>
                <w:szCs w:val="22"/>
                <w:lang w:val="en-US" w:eastAsia="zh-CN"/>
              </w:rPr>
              <w:t>技改工程</w:t>
            </w:r>
            <w:r>
              <w:rPr>
                <w:rFonts w:hint="eastAsia"/>
                <w:b/>
                <w:bCs/>
                <w:color w:val="auto"/>
                <w:sz w:val="24"/>
                <w:szCs w:val="22"/>
                <w:lang w:val="zh-CN"/>
              </w:rPr>
              <w:t>概况</w:t>
            </w:r>
          </w:p>
          <w:p w14:paraId="5D11CCDB">
            <w:pPr>
              <w:spacing w:line="360" w:lineRule="auto"/>
              <w:ind w:firstLine="480"/>
              <w:rPr>
                <w:rFonts w:eastAsia="Times New Roman"/>
                <w:color w:val="auto"/>
                <w:sz w:val="24"/>
              </w:rPr>
            </w:pPr>
            <w:r>
              <w:rPr>
                <w:rFonts w:hint="eastAsia" w:eastAsia="Times New Roman"/>
                <w:color w:val="auto"/>
                <w:sz w:val="24"/>
              </w:rPr>
              <w:t>项目名称：</w:t>
            </w:r>
            <w:r>
              <w:rPr>
                <w:rFonts w:hint="eastAsia" w:eastAsia="Times New Roman"/>
                <w:color w:val="auto"/>
                <w:sz w:val="24"/>
                <w:szCs w:val="24"/>
                <w:lang w:val="en-US" w:eastAsia="zh-CN"/>
              </w:rPr>
              <w:t>内蒙古蒙东能源有限公司敏东一矿辅助提升及运输系统无轨化改造项目</w:t>
            </w:r>
          </w:p>
          <w:p w14:paraId="0B9F482E">
            <w:pPr>
              <w:spacing w:line="360" w:lineRule="auto"/>
              <w:ind w:firstLine="480"/>
              <w:rPr>
                <w:rFonts w:hint="eastAsia" w:eastAsia="宋体"/>
                <w:color w:val="auto"/>
                <w:sz w:val="24"/>
                <w:lang w:eastAsia="zh-CN"/>
              </w:rPr>
            </w:pPr>
            <w:r>
              <w:rPr>
                <w:rFonts w:hint="eastAsia" w:eastAsia="Times New Roman"/>
                <w:color w:val="auto"/>
                <w:sz w:val="24"/>
              </w:rPr>
              <w:t>建设性质：</w:t>
            </w:r>
            <w:r>
              <w:rPr>
                <w:rFonts w:hint="eastAsia" w:eastAsia="宋体"/>
                <w:color w:val="auto"/>
                <w:sz w:val="24"/>
                <w:lang w:val="en-US" w:eastAsia="zh-CN"/>
              </w:rPr>
              <w:t>技改</w:t>
            </w:r>
          </w:p>
          <w:p w14:paraId="131A9913">
            <w:pPr>
              <w:spacing w:line="360" w:lineRule="auto"/>
              <w:ind w:firstLine="480"/>
              <w:rPr>
                <w:rFonts w:eastAsia="Times New Roman"/>
                <w:color w:val="auto"/>
                <w:sz w:val="24"/>
              </w:rPr>
            </w:pPr>
            <w:r>
              <w:rPr>
                <w:rFonts w:hint="eastAsia" w:eastAsia="Times New Roman"/>
                <w:color w:val="auto"/>
                <w:sz w:val="24"/>
              </w:rPr>
              <w:t>建设地点：</w:t>
            </w:r>
            <w:r>
              <w:rPr>
                <w:rFonts w:hint="eastAsia" w:ascii="Times New Roman" w:hAnsi="Times New Roman" w:eastAsia="Times New Roman" w:cs="Times New Roman"/>
                <w:color w:val="auto"/>
                <w:sz w:val="24"/>
              </w:rPr>
              <w:t>呼伦贝尔市鄂温克族自治旗</w:t>
            </w:r>
            <w:r>
              <w:rPr>
                <w:rFonts w:hint="eastAsia" w:eastAsia="Times New Roman"/>
                <w:color w:val="auto"/>
                <w:sz w:val="24"/>
                <w:szCs w:val="24"/>
                <w:lang w:val="en-US" w:eastAsia="zh-CN"/>
              </w:rPr>
              <w:t>锡尼河东苏木敏东一矿工业场地内</w:t>
            </w:r>
            <w:r>
              <w:rPr>
                <w:rFonts w:hint="eastAsia" w:eastAsia="Times New Roman"/>
                <w:color w:val="auto"/>
                <w:sz w:val="24"/>
              </w:rPr>
              <w:t>。</w:t>
            </w:r>
          </w:p>
          <w:p w14:paraId="394C9701">
            <w:pPr>
              <w:spacing w:line="360" w:lineRule="auto"/>
              <w:ind w:firstLine="480"/>
              <w:rPr>
                <w:rFonts w:hint="eastAsia" w:eastAsia="宋体"/>
                <w:color w:val="auto"/>
                <w:sz w:val="24"/>
                <w:lang w:val="en-US" w:eastAsia="zh-CN"/>
              </w:rPr>
            </w:pPr>
            <w:r>
              <w:rPr>
                <w:rFonts w:hint="eastAsia" w:eastAsia="宋体"/>
                <w:color w:val="auto"/>
                <w:sz w:val="24"/>
                <w:lang w:val="en-US" w:eastAsia="zh-CN"/>
              </w:rPr>
              <w:t>劳动定员：</w:t>
            </w:r>
            <w:r>
              <w:rPr>
                <w:rFonts w:hint="eastAsia"/>
                <w:color w:val="auto"/>
                <w:sz w:val="24"/>
                <w:lang w:val="en-US" w:eastAsia="zh-CN"/>
              </w:rPr>
              <w:t>本项目新增劳动定员75人</w:t>
            </w:r>
            <w:r>
              <w:rPr>
                <w:rFonts w:hint="eastAsia" w:eastAsia="宋体"/>
                <w:color w:val="auto"/>
                <w:sz w:val="24"/>
                <w:lang w:val="en-US" w:eastAsia="zh-CN"/>
              </w:rPr>
              <w:t>。</w:t>
            </w:r>
          </w:p>
          <w:p w14:paraId="78667F40">
            <w:pPr>
              <w:spacing w:line="360" w:lineRule="auto"/>
              <w:ind w:firstLine="480" w:firstLineChars="200"/>
              <w:rPr>
                <w:rFonts w:hint="eastAsia"/>
                <w:color w:val="auto"/>
                <w:sz w:val="24"/>
                <w:lang w:val="en-US" w:eastAsia="zh-CN"/>
              </w:rPr>
            </w:pPr>
            <w:r>
              <w:rPr>
                <w:rFonts w:hint="eastAsia" w:eastAsia="宋体"/>
                <w:color w:val="auto"/>
                <w:sz w:val="24"/>
                <w:lang w:val="en-US" w:eastAsia="zh-CN"/>
              </w:rPr>
              <w:t>建设内容</w:t>
            </w:r>
            <w:r>
              <w:rPr>
                <w:rFonts w:hint="eastAsia" w:eastAsia="Times New Roman"/>
                <w:color w:val="auto"/>
                <w:sz w:val="24"/>
              </w:rPr>
              <w:t>：在矿井工业广场内东南角设置井口，井口标高710m，断面为圆形，内径5.6m，砼厚为0.45m，外径为6.5m按-6°倾角向南掘进至457m水平后向北折返并落底在南一采区中部，落底后集中辅助运输大巷与井底车场巷道相连。井筒长度为2513m，井下集中辅助运输大巷长度为2885</w:t>
            </w:r>
            <w:r>
              <w:rPr>
                <w:rFonts w:hint="eastAsia" w:eastAsia="宋体"/>
                <w:color w:val="auto"/>
                <w:sz w:val="24"/>
                <w:lang w:val="en-US" w:eastAsia="zh-CN"/>
              </w:rPr>
              <w:t>m</w:t>
            </w:r>
            <w:r>
              <w:rPr>
                <w:rFonts w:hint="eastAsia"/>
                <w:color w:val="auto"/>
                <w:sz w:val="24"/>
                <w:lang w:val="en-US" w:eastAsia="zh-CN"/>
              </w:rPr>
              <w:t>。</w:t>
            </w:r>
          </w:p>
          <w:p w14:paraId="3C838306">
            <w:pPr>
              <w:spacing w:line="360" w:lineRule="auto"/>
              <w:ind w:firstLine="480"/>
              <w:rPr>
                <w:color w:val="auto"/>
                <w:sz w:val="24"/>
                <w:highlight w:val="yellow"/>
              </w:rPr>
            </w:pPr>
            <w:r>
              <w:rPr>
                <w:rFonts w:hint="eastAsia"/>
                <w:color w:val="auto"/>
                <w:sz w:val="24"/>
              </w:rPr>
              <w:t>总投资：</w:t>
            </w:r>
            <w:r>
              <w:rPr>
                <w:rFonts w:hint="eastAsia"/>
                <w:color w:val="auto"/>
                <w:sz w:val="24"/>
                <w:lang w:val="en-US" w:eastAsia="zh-CN"/>
              </w:rPr>
              <w:t>44319.03</w:t>
            </w:r>
            <w:r>
              <w:rPr>
                <w:rFonts w:hint="eastAsia"/>
                <w:color w:val="auto"/>
                <w:sz w:val="24"/>
              </w:rPr>
              <w:t>万元，其中环保投资</w:t>
            </w:r>
            <w:r>
              <w:rPr>
                <w:rFonts w:hint="eastAsia"/>
                <w:color w:val="auto"/>
                <w:sz w:val="24"/>
                <w:lang w:val="en-US" w:eastAsia="zh-CN"/>
              </w:rPr>
              <w:t>1350</w:t>
            </w:r>
            <w:r>
              <w:rPr>
                <w:rFonts w:hint="eastAsia"/>
                <w:color w:val="auto"/>
                <w:sz w:val="24"/>
              </w:rPr>
              <w:t>万元，占总投资的</w:t>
            </w:r>
            <w:r>
              <w:rPr>
                <w:rFonts w:hint="eastAsia"/>
                <w:color w:val="auto"/>
                <w:sz w:val="24"/>
                <w:lang w:val="en-US" w:eastAsia="zh-CN"/>
              </w:rPr>
              <w:t>3.05</w:t>
            </w:r>
            <w:r>
              <w:rPr>
                <w:rFonts w:hint="eastAsia"/>
                <w:color w:val="auto"/>
                <w:sz w:val="24"/>
              </w:rPr>
              <w:t>%</w:t>
            </w:r>
            <w:r>
              <w:rPr>
                <w:rFonts w:hint="eastAsia"/>
                <w:color w:val="auto"/>
                <w:sz w:val="24"/>
                <w:lang w:eastAsia="zh-CN"/>
              </w:rPr>
              <w:t>。</w:t>
            </w:r>
          </w:p>
          <w:p w14:paraId="52B70DF3">
            <w:pPr>
              <w:spacing w:line="360" w:lineRule="auto"/>
              <w:ind w:firstLine="480" w:firstLineChars="200"/>
              <w:rPr>
                <w:color w:val="auto"/>
                <w:sz w:val="24"/>
              </w:rPr>
            </w:pPr>
            <w:r>
              <w:rPr>
                <w:rFonts w:hint="eastAsia"/>
                <w:color w:val="auto"/>
                <w:sz w:val="24"/>
              </w:rPr>
              <w:t>本工程建成后建设内容见</w:t>
            </w:r>
            <w:r>
              <w:rPr>
                <w:color w:val="auto"/>
                <w:sz w:val="24"/>
              </w:rPr>
              <w:t>表</w:t>
            </w:r>
            <w:r>
              <w:rPr>
                <w:rFonts w:hint="eastAsia"/>
                <w:color w:val="auto"/>
                <w:sz w:val="24"/>
              </w:rPr>
              <w:t>2-1</w:t>
            </w:r>
            <w:r>
              <w:rPr>
                <w:color w:val="auto"/>
                <w:sz w:val="24"/>
              </w:rPr>
              <w:t>。</w:t>
            </w:r>
          </w:p>
          <w:p w14:paraId="22352A7B">
            <w:pPr>
              <w:pStyle w:val="7"/>
              <w:spacing w:after="0" w:line="360" w:lineRule="auto"/>
              <w:jc w:val="center"/>
              <w:rPr>
                <w:b/>
                <w:bCs/>
                <w:color w:val="auto"/>
                <w:szCs w:val="21"/>
              </w:rPr>
            </w:pPr>
            <w:r>
              <w:rPr>
                <w:rFonts w:hint="eastAsia"/>
                <w:b/>
                <w:bCs/>
                <w:color w:val="auto"/>
                <w:szCs w:val="21"/>
              </w:rPr>
              <w:t>表2-1    建设内容一览表</w:t>
            </w:r>
          </w:p>
          <w:tbl>
            <w:tblPr>
              <w:tblStyle w:val="19"/>
              <w:tblW w:w="4995"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670"/>
              <w:gridCol w:w="612"/>
              <w:gridCol w:w="584"/>
              <w:gridCol w:w="2687"/>
              <w:gridCol w:w="2831"/>
              <w:gridCol w:w="926"/>
            </w:tblGrid>
            <w:tr w14:paraId="007B8AA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tcBorders>
                    <w:tl2br w:val="nil"/>
                    <w:tr2bl w:val="nil"/>
                  </w:tcBorders>
                  <w:noWrap w:val="0"/>
                  <w:vAlign w:val="center"/>
                </w:tcPr>
                <w:p w14:paraId="5AC5915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工程</w:t>
                  </w:r>
                </w:p>
                <w:p w14:paraId="42870E1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类别</w:t>
                  </w:r>
                </w:p>
              </w:tc>
              <w:tc>
                <w:tcPr>
                  <w:tcW w:w="719" w:type="pct"/>
                  <w:gridSpan w:val="2"/>
                  <w:tcBorders>
                    <w:tl2br w:val="nil"/>
                    <w:tr2bl w:val="nil"/>
                  </w:tcBorders>
                  <w:noWrap w:val="0"/>
                  <w:vAlign w:val="center"/>
                </w:tcPr>
                <w:p w14:paraId="08783EC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项目名称</w:t>
                  </w:r>
                </w:p>
              </w:tc>
              <w:tc>
                <w:tcPr>
                  <w:tcW w:w="1616" w:type="pct"/>
                  <w:tcBorders>
                    <w:tl2br w:val="nil"/>
                    <w:tr2bl w:val="nil"/>
                  </w:tcBorders>
                  <w:noWrap w:val="0"/>
                  <w:vAlign w:val="center"/>
                </w:tcPr>
                <w:p w14:paraId="24CEF08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现有工程</w:t>
                  </w:r>
                  <w:r>
                    <w:rPr>
                      <w:rFonts w:hint="default" w:ascii="Times New Roman" w:hAnsi="Times New Roman" w:eastAsia="宋体" w:cs="Times New Roman"/>
                      <w:color w:val="auto"/>
                      <w:kern w:val="2"/>
                      <w:sz w:val="21"/>
                      <w:szCs w:val="21"/>
                      <w:lang w:val="en-US" w:eastAsia="zh-CN"/>
                    </w:rPr>
                    <w:t>建设内容</w:t>
                  </w:r>
                </w:p>
              </w:tc>
              <w:tc>
                <w:tcPr>
                  <w:tcW w:w="1703" w:type="pct"/>
                  <w:tcBorders>
                    <w:tl2br w:val="nil"/>
                    <w:tr2bl w:val="nil"/>
                  </w:tcBorders>
                  <w:noWrap w:val="0"/>
                  <w:vAlign w:val="center"/>
                </w:tcPr>
                <w:p w14:paraId="1A0360D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本次技改后工程内容</w:t>
                  </w:r>
                </w:p>
              </w:tc>
              <w:tc>
                <w:tcPr>
                  <w:tcW w:w="557" w:type="pct"/>
                  <w:tcBorders>
                    <w:tl2br w:val="nil"/>
                    <w:tr2bl w:val="nil"/>
                  </w:tcBorders>
                  <w:noWrap w:val="0"/>
                  <w:vAlign w:val="center"/>
                </w:tcPr>
                <w:p w14:paraId="7B504CD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备注</w:t>
                  </w:r>
                </w:p>
              </w:tc>
            </w:tr>
            <w:tr w14:paraId="6B98AF0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tcBorders>
                    <w:tl2br w:val="nil"/>
                    <w:tr2bl w:val="nil"/>
                  </w:tcBorders>
                  <w:noWrap w:val="0"/>
                  <w:vAlign w:val="center"/>
                </w:tcPr>
                <w:p w14:paraId="7C740F0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主体工程</w:t>
                  </w:r>
                </w:p>
              </w:tc>
              <w:tc>
                <w:tcPr>
                  <w:tcW w:w="719" w:type="pct"/>
                  <w:gridSpan w:val="2"/>
                  <w:tcBorders>
                    <w:tl2br w:val="nil"/>
                    <w:tr2bl w:val="nil"/>
                  </w:tcBorders>
                  <w:noWrap w:val="0"/>
                  <w:vAlign w:val="center"/>
                </w:tcPr>
                <w:p w14:paraId="111B736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斜井</w:t>
                  </w:r>
                </w:p>
              </w:tc>
              <w:tc>
                <w:tcPr>
                  <w:tcW w:w="1616" w:type="pct"/>
                  <w:tcBorders>
                    <w:tl2br w:val="nil"/>
                    <w:tr2bl w:val="nil"/>
                  </w:tcBorders>
                  <w:noWrap w:val="0"/>
                  <w:vAlign w:val="center"/>
                </w:tcPr>
                <w:p w14:paraId="5FEE52B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2F6FBD7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在工业场地东南排矸场布置缓坡斜井，全矿井采用无轨辅助运输系统，由地面到工作面实现连续运输。缓坡斜井井口标高为+710m，井筒坡度为6°，井筒分为两段，总长度为5398m。第一段落底至南一采区中部，落底标高为+455m，第二段兼做集中辅助运输大巷与井底车场巷道相连，井筒长度为2513m，井下集中辅助运输大巷长度为2885。配套建设斜井井口房平面尺寸18.3×36.6m，高度为8.4m，采用门式刚架结构，基础形式为钢筋混凝土单独基础，围护结构采用夹芯彩板围护。</w:t>
                  </w:r>
                </w:p>
              </w:tc>
              <w:tc>
                <w:tcPr>
                  <w:tcW w:w="557" w:type="pct"/>
                  <w:tcBorders>
                    <w:tl2br w:val="nil"/>
                    <w:tr2bl w:val="nil"/>
                  </w:tcBorders>
                  <w:noWrap w:val="0"/>
                  <w:vAlign w:val="center"/>
                </w:tcPr>
                <w:p w14:paraId="4D64DBA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新建斜井</w:t>
                  </w:r>
                </w:p>
              </w:tc>
            </w:tr>
            <w:tr w14:paraId="1257D44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restart"/>
                  <w:tcBorders>
                    <w:tl2br w:val="nil"/>
                    <w:tr2bl w:val="nil"/>
                  </w:tcBorders>
                  <w:noWrap w:val="0"/>
                  <w:vAlign w:val="center"/>
                </w:tcPr>
                <w:p w14:paraId="3A82629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辅助</w:t>
                  </w:r>
                  <w:r>
                    <w:rPr>
                      <w:rFonts w:hint="default" w:ascii="Times New Roman" w:hAnsi="Times New Roman" w:eastAsia="宋体" w:cs="Times New Roman"/>
                      <w:color w:val="auto"/>
                      <w:kern w:val="2"/>
                      <w:sz w:val="21"/>
                      <w:szCs w:val="21"/>
                      <w:lang w:val="en-US" w:eastAsia="zh-CN"/>
                    </w:rPr>
                    <w:t>工程</w:t>
                  </w:r>
                </w:p>
              </w:tc>
              <w:tc>
                <w:tcPr>
                  <w:tcW w:w="719" w:type="pct"/>
                  <w:gridSpan w:val="2"/>
                  <w:tcBorders>
                    <w:tl2br w:val="nil"/>
                    <w:tr2bl w:val="nil"/>
                  </w:tcBorders>
                  <w:noWrap w:val="0"/>
                  <w:vAlign w:val="center"/>
                </w:tcPr>
                <w:p w14:paraId="57CA985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通风设施</w:t>
                  </w:r>
                </w:p>
              </w:tc>
              <w:tc>
                <w:tcPr>
                  <w:tcW w:w="1616" w:type="pct"/>
                  <w:tcBorders>
                    <w:tl2br w:val="nil"/>
                    <w:tr2bl w:val="nil"/>
                  </w:tcBorders>
                  <w:noWrap w:val="0"/>
                  <w:vAlign w:val="center"/>
                </w:tcPr>
                <w:p w14:paraId="14E5029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矿井目前布置3条井筒，分别为主立井、副立井和回风立井，井下共布置一个综放工作面和3个煤巷综掘工作面，矿井通风方式为中央并列式，通风方法为机械抽出式。</w:t>
                  </w:r>
                </w:p>
              </w:tc>
              <w:tc>
                <w:tcPr>
                  <w:tcW w:w="1703" w:type="pct"/>
                  <w:tcBorders>
                    <w:tl2br w:val="nil"/>
                    <w:tr2bl w:val="nil"/>
                  </w:tcBorders>
                  <w:noWrap w:val="0"/>
                  <w:vAlign w:val="center"/>
                </w:tcPr>
                <w:p w14:paraId="3255926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新增缓坡斜井后，矿井通风方式及通风方法不变。形成主、副、缓坡斜井进风，回风立井回风的通风系统。</w:t>
                  </w:r>
                </w:p>
              </w:tc>
              <w:tc>
                <w:tcPr>
                  <w:tcW w:w="557" w:type="pct"/>
                  <w:tcBorders>
                    <w:tl2br w:val="nil"/>
                    <w:tr2bl w:val="nil"/>
                  </w:tcBorders>
                  <w:noWrap w:val="0"/>
                  <w:vAlign w:val="center"/>
                </w:tcPr>
                <w:p w14:paraId="053AA5F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通风方式</w:t>
                  </w:r>
                  <w:r>
                    <w:rPr>
                      <w:rFonts w:hint="eastAsia" w:cs="Times New Roman"/>
                      <w:color w:val="auto"/>
                      <w:kern w:val="2"/>
                      <w:sz w:val="21"/>
                      <w:szCs w:val="21"/>
                      <w:lang w:val="en-US" w:eastAsia="zh-CN"/>
                    </w:rPr>
                    <w:t>不变</w:t>
                  </w:r>
                </w:p>
              </w:tc>
            </w:tr>
            <w:tr w14:paraId="3B44846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1EF5081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48C32B6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监控系统</w:t>
                  </w:r>
                </w:p>
              </w:tc>
              <w:tc>
                <w:tcPr>
                  <w:tcW w:w="1616" w:type="pct"/>
                  <w:tcBorders>
                    <w:tl2br w:val="nil"/>
                    <w:tr2bl w:val="nil"/>
                  </w:tcBorders>
                  <w:noWrap w:val="0"/>
                  <w:vAlign w:val="center"/>
                </w:tcPr>
                <w:p w14:paraId="3E21083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已建监控系统一套</w:t>
                  </w:r>
                </w:p>
              </w:tc>
              <w:tc>
                <w:tcPr>
                  <w:tcW w:w="1703" w:type="pct"/>
                  <w:tcBorders>
                    <w:tl2br w:val="nil"/>
                    <w:tr2bl w:val="nil"/>
                  </w:tcBorders>
                  <w:noWrap w:val="0"/>
                  <w:vAlign w:val="center"/>
                </w:tcPr>
                <w:p w14:paraId="5C1A92F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本次仅需扩容原有系统，在新建缓坡斜井内设置甲烷传感器、风速等传感器以及工业电视监控摄像点。用以检测缓坡斜井内瓦斯浓度、风流风速等环境参数。</w:t>
                  </w:r>
                </w:p>
              </w:tc>
              <w:tc>
                <w:tcPr>
                  <w:tcW w:w="557" w:type="pct"/>
                  <w:tcBorders>
                    <w:tl2br w:val="nil"/>
                    <w:tr2bl w:val="nil"/>
                  </w:tcBorders>
                  <w:noWrap w:val="0"/>
                  <w:vAlign w:val="center"/>
                </w:tcPr>
                <w:p w14:paraId="7F132EB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在原有系统内新增设备</w:t>
                  </w:r>
                </w:p>
              </w:tc>
            </w:tr>
            <w:tr w14:paraId="1C2371E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7549DF6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2AE749B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cs="Times New Roman"/>
                      <w:color w:val="auto"/>
                      <w:kern w:val="2"/>
                      <w:sz w:val="21"/>
                      <w:szCs w:val="21"/>
                      <w:lang w:val="en-US" w:eastAsia="zh-CN"/>
                    </w:rPr>
                    <w:t>无轨胶轮车库及保养间</w:t>
                  </w:r>
                </w:p>
              </w:tc>
              <w:tc>
                <w:tcPr>
                  <w:tcW w:w="1616" w:type="pct"/>
                  <w:tcBorders>
                    <w:tl2br w:val="nil"/>
                    <w:tr2bl w:val="nil"/>
                  </w:tcBorders>
                  <w:noWrap w:val="0"/>
                  <w:vAlign w:val="center"/>
                </w:tcPr>
                <w:p w14:paraId="2A12A81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cs="Times New Roman"/>
                      <w:color w:val="auto"/>
                      <w:kern w:val="2"/>
                      <w:sz w:val="21"/>
                      <w:szCs w:val="21"/>
                      <w:lang w:val="en-US" w:eastAsia="zh-CN"/>
                    </w:rPr>
                    <w:t>/</w:t>
                  </w:r>
                </w:p>
              </w:tc>
              <w:tc>
                <w:tcPr>
                  <w:tcW w:w="1703" w:type="pct"/>
                  <w:tcBorders>
                    <w:tl2br w:val="nil"/>
                    <w:tr2bl w:val="nil"/>
                  </w:tcBorders>
                  <w:noWrap w:val="0"/>
                  <w:vAlign w:val="center"/>
                </w:tcPr>
                <w:p w14:paraId="0AC81F9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平面尺寸18.6m×120.6m，高9.6m，内设一台LDA型10t单梁起重机。采用门式刚架结构，基础形式为钢筋混凝土单独基础，围护结构采用夹芯彩板围护。</w:t>
                  </w:r>
                </w:p>
              </w:tc>
              <w:tc>
                <w:tcPr>
                  <w:tcW w:w="557" w:type="pct"/>
                  <w:tcBorders>
                    <w:tl2br w:val="nil"/>
                    <w:tr2bl w:val="nil"/>
                  </w:tcBorders>
                  <w:noWrap w:val="0"/>
                  <w:vAlign w:val="center"/>
                </w:tcPr>
                <w:p w14:paraId="6816E00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cs="Times New Roman"/>
                      <w:color w:val="auto"/>
                      <w:kern w:val="2"/>
                      <w:sz w:val="21"/>
                      <w:szCs w:val="21"/>
                      <w:lang w:val="en-US" w:eastAsia="zh-CN"/>
                    </w:rPr>
                    <w:t>新建</w:t>
                  </w:r>
                </w:p>
              </w:tc>
            </w:tr>
            <w:tr w14:paraId="3093CBA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7804866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35198F4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cs="Times New Roman"/>
                      <w:color w:val="auto"/>
                      <w:kern w:val="2"/>
                      <w:sz w:val="21"/>
                      <w:szCs w:val="21"/>
                      <w:lang w:val="en-US" w:eastAsia="zh-CN"/>
                    </w:rPr>
                  </w:pPr>
                  <w:r>
                    <w:rPr>
                      <w:rFonts w:hint="eastAsia" w:cs="Times New Roman"/>
                      <w:color w:val="auto"/>
                      <w:kern w:val="2"/>
                      <w:sz w:val="21"/>
                      <w:szCs w:val="21"/>
                      <w:lang w:val="en-US" w:eastAsia="zh-CN"/>
                    </w:rPr>
                    <w:t>无轨胶轮车加油场地</w:t>
                  </w:r>
                </w:p>
              </w:tc>
              <w:tc>
                <w:tcPr>
                  <w:tcW w:w="1616" w:type="pct"/>
                  <w:tcBorders>
                    <w:tl2br w:val="nil"/>
                    <w:tr2bl w:val="nil"/>
                  </w:tcBorders>
                  <w:noWrap w:val="0"/>
                  <w:vAlign w:val="center"/>
                </w:tcPr>
                <w:p w14:paraId="7A08987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39504FB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eastAsia="宋体" w:cs="Times New Roman"/>
                      <w:color w:val="auto"/>
                      <w:kern w:val="2"/>
                      <w:sz w:val="21"/>
                      <w:szCs w:val="21"/>
                      <w:lang w:val="en-US" w:eastAsia="zh-CN"/>
                    </w:rPr>
                  </w:pPr>
                  <w:r>
                    <w:rPr>
                      <w:rFonts w:hint="default" w:eastAsia="宋体" w:cs="Times New Roman"/>
                      <w:color w:val="auto"/>
                      <w:kern w:val="2"/>
                      <w:sz w:val="21"/>
                      <w:szCs w:val="21"/>
                      <w:lang w:val="en-US" w:eastAsia="zh-CN"/>
                    </w:rPr>
                    <w:t>平面尺寸72m×55m，内设1个50m</w:t>
                  </w:r>
                  <w:r>
                    <w:rPr>
                      <w:rFonts w:hint="default" w:eastAsia="宋体" w:cs="Times New Roman"/>
                      <w:color w:val="auto"/>
                      <w:kern w:val="2"/>
                      <w:sz w:val="21"/>
                      <w:szCs w:val="21"/>
                      <w:vertAlign w:val="superscript"/>
                      <w:lang w:val="en-US" w:eastAsia="zh-CN"/>
                    </w:rPr>
                    <w:t>3</w:t>
                  </w:r>
                  <w:r>
                    <w:rPr>
                      <w:rFonts w:hint="default" w:eastAsia="宋体" w:cs="Times New Roman"/>
                      <w:color w:val="auto"/>
                      <w:kern w:val="2"/>
                      <w:sz w:val="21"/>
                      <w:szCs w:val="21"/>
                      <w:lang w:val="en-US" w:eastAsia="zh-CN"/>
                    </w:rPr>
                    <w:t>的柴油储罐。</w:t>
                  </w:r>
                  <w:r>
                    <w:rPr>
                      <w:rFonts w:hint="eastAsia" w:eastAsia="宋体" w:cs="Times New Roman"/>
                      <w:color w:val="auto"/>
                      <w:kern w:val="2"/>
                      <w:sz w:val="21"/>
                      <w:szCs w:val="21"/>
                      <w:lang w:val="en-US" w:eastAsia="zh-CN"/>
                    </w:rPr>
                    <w:t>储罐周围设置围堰，围堰高度约0.3m，采用钢筋混凝土结构，混凝土强度等级不低于C20，以承受柴油的压力和冲击力，防止围堰破裂导致泄漏柴油外流</w:t>
                  </w:r>
                  <w:r>
                    <w:rPr>
                      <w:rFonts w:hint="eastAsia" w:cs="Times New Roman"/>
                      <w:color w:val="auto"/>
                      <w:kern w:val="2"/>
                      <w:sz w:val="21"/>
                      <w:szCs w:val="21"/>
                      <w:lang w:val="en-US" w:eastAsia="zh-CN"/>
                    </w:rPr>
                    <w:t>。</w:t>
                  </w:r>
                  <w:r>
                    <w:rPr>
                      <w:rFonts w:hint="eastAsia" w:eastAsia="宋体" w:cs="Times New Roman"/>
                      <w:color w:val="auto"/>
                      <w:kern w:val="2"/>
                      <w:sz w:val="21"/>
                      <w:szCs w:val="21"/>
                      <w:lang w:val="en-US" w:eastAsia="zh-CN"/>
                    </w:rPr>
                    <w:t>‌</w:t>
                  </w:r>
                </w:p>
              </w:tc>
              <w:tc>
                <w:tcPr>
                  <w:tcW w:w="557" w:type="pct"/>
                  <w:tcBorders>
                    <w:tl2br w:val="nil"/>
                    <w:tr2bl w:val="nil"/>
                  </w:tcBorders>
                  <w:noWrap w:val="0"/>
                  <w:vAlign w:val="center"/>
                </w:tcPr>
                <w:p w14:paraId="28B363D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新建</w:t>
                  </w:r>
                </w:p>
              </w:tc>
            </w:tr>
            <w:tr w14:paraId="1DCCB18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3D397E0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74A27B4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cs="Times New Roman"/>
                      <w:color w:val="auto"/>
                      <w:kern w:val="2"/>
                      <w:sz w:val="21"/>
                      <w:szCs w:val="21"/>
                      <w:lang w:val="en-US" w:eastAsia="zh-CN"/>
                    </w:rPr>
                  </w:pPr>
                  <w:r>
                    <w:rPr>
                      <w:rFonts w:hint="eastAsia" w:cs="Times New Roman"/>
                      <w:color w:val="auto"/>
                      <w:kern w:val="2"/>
                      <w:sz w:val="21"/>
                      <w:szCs w:val="21"/>
                      <w:lang w:val="en-US" w:eastAsia="zh-CN"/>
                    </w:rPr>
                    <w:t>空气加热室及值班配电室</w:t>
                  </w:r>
                </w:p>
              </w:tc>
              <w:tc>
                <w:tcPr>
                  <w:tcW w:w="1616" w:type="pct"/>
                  <w:tcBorders>
                    <w:tl2br w:val="nil"/>
                    <w:tr2bl w:val="nil"/>
                  </w:tcBorders>
                  <w:noWrap w:val="0"/>
                  <w:vAlign w:val="center"/>
                </w:tcPr>
                <w:p w14:paraId="2DD6B2A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w:t>
                  </w:r>
                </w:p>
              </w:tc>
              <w:tc>
                <w:tcPr>
                  <w:tcW w:w="1703" w:type="pct"/>
                  <w:tcBorders>
                    <w:tl2br w:val="nil"/>
                    <w:tr2bl w:val="nil"/>
                  </w:tcBorders>
                  <w:noWrap w:val="0"/>
                  <w:vAlign w:val="center"/>
                </w:tcPr>
                <w:p w14:paraId="48038F8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平面尺寸9.3m×36.6m，高5.1m，采用钢框架结构，基础形式为钢筋混凝土单独基础，围护结构采用夹芯彩板围护，与缓坡副斜井井口房合建。</w:t>
                  </w:r>
                </w:p>
              </w:tc>
              <w:tc>
                <w:tcPr>
                  <w:tcW w:w="557" w:type="pct"/>
                  <w:tcBorders>
                    <w:tl2br w:val="nil"/>
                    <w:tr2bl w:val="nil"/>
                  </w:tcBorders>
                  <w:noWrap w:val="0"/>
                  <w:vAlign w:val="center"/>
                </w:tcPr>
                <w:p w14:paraId="726794B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新建</w:t>
                  </w:r>
                </w:p>
              </w:tc>
            </w:tr>
            <w:tr w14:paraId="0795A95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154" w:hRule="atLeast"/>
              </w:trPr>
              <w:tc>
                <w:tcPr>
                  <w:tcW w:w="403" w:type="pct"/>
                  <w:vMerge w:val="restart"/>
                  <w:tcBorders>
                    <w:tl2br w:val="nil"/>
                    <w:tr2bl w:val="nil"/>
                  </w:tcBorders>
                  <w:noWrap w:val="0"/>
                  <w:vAlign w:val="center"/>
                </w:tcPr>
                <w:p w14:paraId="1207556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公用</w:t>
                  </w:r>
                </w:p>
                <w:p w14:paraId="1FD5C88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工程</w:t>
                  </w:r>
                </w:p>
              </w:tc>
              <w:tc>
                <w:tcPr>
                  <w:tcW w:w="719" w:type="pct"/>
                  <w:gridSpan w:val="2"/>
                  <w:tcBorders>
                    <w:tl2br w:val="nil"/>
                    <w:tr2bl w:val="nil"/>
                  </w:tcBorders>
                  <w:noWrap w:val="0"/>
                  <w:vAlign w:val="center"/>
                </w:tcPr>
                <w:p w14:paraId="2C1C821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供电</w:t>
                  </w:r>
                </w:p>
              </w:tc>
              <w:tc>
                <w:tcPr>
                  <w:tcW w:w="1616" w:type="pct"/>
                  <w:tcBorders>
                    <w:tl2br w:val="nil"/>
                    <w:tr2bl w:val="nil"/>
                  </w:tcBorders>
                  <w:shd w:val="clear" w:color="auto" w:fill="auto"/>
                  <w:noWrap w:val="0"/>
                  <w:vAlign w:val="center"/>
                </w:tcPr>
                <w:p w14:paraId="2ED4504B">
                  <w:pPr>
                    <w:keepNext w:val="0"/>
                    <w:keepLines w:val="0"/>
                    <w:widowControl/>
                    <w:suppressLineNumbers w:val="0"/>
                    <w:jc w:val="center"/>
                    <w:rPr>
                      <w:rFonts w:hint="default" w:ascii="Times New Roman" w:hAnsi="Times New Roman" w:eastAsia="宋体" w:cs="Times New Roman"/>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主要取自鄂温克发电厂</w:t>
                  </w:r>
                  <w:r>
                    <w:rPr>
                      <w:rFonts w:hint="default" w:ascii="Times New Roman" w:hAnsi="Times New Roman" w:eastAsia="宋体" w:cs="Times New Roman"/>
                      <w:color w:val="auto"/>
                      <w:kern w:val="0"/>
                      <w:sz w:val="21"/>
                      <w:szCs w:val="21"/>
                      <w:lang w:val="en-US" w:eastAsia="zh-CN" w:bidi="ar"/>
                    </w:rPr>
                    <w:t>110kV</w:t>
                  </w:r>
                  <w:r>
                    <w:rPr>
                      <w:rFonts w:hint="eastAsia" w:ascii="宋体" w:hAnsi="宋体" w:eastAsia="宋体" w:cs="宋体"/>
                      <w:color w:val="auto"/>
                      <w:kern w:val="0"/>
                      <w:sz w:val="21"/>
                      <w:szCs w:val="21"/>
                      <w:lang w:val="en-US" w:eastAsia="zh-CN" w:bidi="ar"/>
                    </w:rPr>
                    <w:t>出线间隔和伊敏一次变电所，向矿区供电的电压等级为</w:t>
                  </w:r>
                  <w:r>
                    <w:rPr>
                      <w:rFonts w:hint="default" w:ascii="Times New Roman" w:hAnsi="Times New Roman" w:eastAsia="宋体" w:cs="Times New Roman"/>
                      <w:color w:val="auto"/>
                      <w:kern w:val="0"/>
                      <w:sz w:val="21"/>
                      <w:szCs w:val="21"/>
                      <w:lang w:val="en-US" w:eastAsia="zh-CN" w:bidi="ar"/>
                    </w:rPr>
                    <w:t>110kV</w:t>
                  </w:r>
                  <w:r>
                    <w:rPr>
                      <w:rFonts w:hint="eastAsia" w:ascii="Times New Roman" w:hAnsi="Times New Roman" w:eastAsia="宋体" w:cs="Times New Roman"/>
                      <w:color w:val="auto"/>
                      <w:kern w:val="0"/>
                      <w:sz w:val="21"/>
                      <w:szCs w:val="21"/>
                      <w:lang w:val="en-US" w:eastAsia="zh-CN" w:bidi="ar"/>
                    </w:rPr>
                    <w:t>。在矿井工业场地内设</w:t>
                  </w:r>
                  <w:r>
                    <w:rPr>
                      <w:rFonts w:hint="default" w:ascii="Times New Roman" w:hAnsi="Times New Roman" w:eastAsia="宋体" w:cs="Times New Roman"/>
                      <w:color w:val="auto"/>
                      <w:kern w:val="0"/>
                      <w:sz w:val="21"/>
                      <w:szCs w:val="21"/>
                      <w:lang w:val="en-US" w:eastAsia="zh-CN" w:bidi="ar"/>
                    </w:rPr>
                    <w:t>110kV/10kV</w:t>
                  </w:r>
                  <w:r>
                    <w:rPr>
                      <w:rFonts w:hint="eastAsia" w:ascii="Times New Roman" w:hAnsi="Times New Roman" w:eastAsia="宋体" w:cs="Times New Roman"/>
                      <w:color w:val="auto"/>
                      <w:kern w:val="0"/>
                      <w:sz w:val="21"/>
                      <w:szCs w:val="21"/>
                      <w:lang w:val="en-US" w:eastAsia="zh-CN" w:bidi="ar"/>
                    </w:rPr>
                    <w:t>矿井变电所一座，所内安装2台主变压器，型号为</w:t>
                  </w:r>
                  <w:r>
                    <w:rPr>
                      <w:rFonts w:hint="default" w:ascii="Times New Roman" w:hAnsi="Times New Roman" w:eastAsia="宋体" w:cs="Times New Roman"/>
                      <w:color w:val="auto"/>
                      <w:kern w:val="0"/>
                      <w:sz w:val="21"/>
                      <w:szCs w:val="21"/>
                      <w:lang w:val="en-US" w:eastAsia="zh-CN" w:bidi="ar"/>
                    </w:rPr>
                    <w:t>SFZ10-20000/110</w:t>
                  </w:r>
                  <w:r>
                    <w:rPr>
                      <w:rFonts w:hint="eastAsia" w:ascii="Times New Roman" w:hAnsi="Times New Roman" w:eastAsia="宋体" w:cs="Times New Roman"/>
                      <w:color w:val="auto"/>
                      <w:kern w:val="0"/>
                      <w:sz w:val="21"/>
                      <w:szCs w:val="21"/>
                      <w:lang w:val="en-US" w:eastAsia="zh-CN" w:bidi="ar"/>
                    </w:rPr>
                    <w:t>，</w:t>
                  </w:r>
                  <w:r>
                    <w:rPr>
                      <w:rFonts w:hint="default" w:ascii="Times New Roman" w:hAnsi="Times New Roman" w:eastAsia="宋体" w:cs="Times New Roman"/>
                      <w:color w:val="auto"/>
                      <w:kern w:val="0"/>
                      <w:sz w:val="21"/>
                      <w:szCs w:val="21"/>
                      <w:lang w:val="en-US" w:eastAsia="zh-CN" w:bidi="ar"/>
                    </w:rPr>
                    <w:t>110/10kV20000kVA</w:t>
                  </w:r>
                  <w:r>
                    <w:rPr>
                      <w:rFonts w:hint="eastAsia" w:ascii="Times New Roman" w:hAnsi="Times New Roman" w:eastAsia="宋体" w:cs="Times New Roman"/>
                      <w:color w:val="auto"/>
                      <w:kern w:val="0"/>
                      <w:sz w:val="21"/>
                      <w:szCs w:val="21"/>
                      <w:lang w:val="en-US" w:eastAsia="zh-CN" w:bidi="ar"/>
                    </w:rPr>
                    <w:t>，布置在室外；</w:t>
                  </w:r>
                  <w:r>
                    <w:rPr>
                      <w:rFonts w:hint="default" w:ascii="Times New Roman" w:hAnsi="Times New Roman" w:eastAsia="宋体" w:cs="Times New Roman"/>
                      <w:color w:val="auto"/>
                      <w:kern w:val="0"/>
                      <w:sz w:val="21"/>
                      <w:szCs w:val="21"/>
                      <w:lang w:val="en-US" w:eastAsia="zh-CN" w:bidi="ar"/>
                    </w:rPr>
                    <w:t>110kV</w:t>
                  </w:r>
                  <w:r>
                    <w:rPr>
                      <w:rFonts w:hint="eastAsia" w:ascii="Times New Roman" w:hAnsi="Times New Roman" w:eastAsia="宋体" w:cs="Times New Roman"/>
                      <w:color w:val="auto"/>
                      <w:kern w:val="0"/>
                      <w:sz w:val="21"/>
                      <w:szCs w:val="21"/>
                      <w:lang w:val="en-US" w:eastAsia="zh-CN" w:bidi="ar"/>
                    </w:rPr>
                    <w:t>和</w:t>
                  </w:r>
                  <w:r>
                    <w:rPr>
                      <w:rFonts w:hint="default" w:ascii="Times New Roman" w:hAnsi="Times New Roman" w:eastAsia="宋体" w:cs="Times New Roman"/>
                      <w:color w:val="auto"/>
                      <w:kern w:val="0"/>
                      <w:sz w:val="21"/>
                      <w:szCs w:val="21"/>
                      <w:lang w:val="en-US" w:eastAsia="zh-CN" w:bidi="ar"/>
                    </w:rPr>
                    <w:t xml:space="preserve">10kV </w:t>
                  </w:r>
                  <w:r>
                    <w:rPr>
                      <w:rFonts w:hint="eastAsia" w:ascii="宋体" w:hAnsi="宋体" w:eastAsia="宋体" w:cs="宋体"/>
                      <w:color w:val="auto"/>
                      <w:kern w:val="0"/>
                      <w:sz w:val="21"/>
                      <w:szCs w:val="21"/>
                      <w:lang w:val="en-US" w:eastAsia="zh-CN" w:bidi="ar"/>
                    </w:rPr>
                    <w:t>开关设备均设置在室内。</w:t>
                  </w:r>
                  <w:r>
                    <w:rPr>
                      <w:rFonts w:hint="default" w:ascii="Times New Roman" w:hAnsi="Times New Roman" w:eastAsia="宋体" w:cs="Times New Roman"/>
                      <w:color w:val="auto"/>
                      <w:kern w:val="0"/>
                      <w:sz w:val="21"/>
                      <w:szCs w:val="21"/>
                      <w:lang w:val="en-US" w:eastAsia="zh-CN" w:bidi="ar"/>
                    </w:rPr>
                    <w:t>110 kV</w:t>
                  </w:r>
                  <w:r>
                    <w:rPr>
                      <w:rFonts w:hint="eastAsia" w:ascii="宋体" w:hAnsi="宋体" w:eastAsia="宋体" w:cs="宋体"/>
                      <w:color w:val="auto"/>
                      <w:kern w:val="0"/>
                      <w:sz w:val="21"/>
                      <w:szCs w:val="21"/>
                      <w:lang w:val="en-US" w:eastAsia="zh-CN" w:bidi="ar"/>
                    </w:rPr>
                    <w:t>高压配电室和</w:t>
                  </w:r>
                  <w:r>
                    <w:rPr>
                      <w:rFonts w:hint="default" w:ascii="Times New Roman" w:hAnsi="Times New Roman" w:eastAsia="宋体" w:cs="Times New Roman"/>
                      <w:color w:val="auto"/>
                      <w:kern w:val="0"/>
                      <w:sz w:val="21"/>
                      <w:szCs w:val="21"/>
                      <w:lang w:val="en-US" w:eastAsia="zh-CN" w:bidi="ar"/>
                    </w:rPr>
                    <w:t>10kV</w:t>
                  </w:r>
                  <w:r>
                    <w:rPr>
                      <w:rFonts w:hint="eastAsia" w:ascii="宋体" w:hAnsi="宋体" w:eastAsia="宋体" w:cs="宋体"/>
                      <w:color w:val="auto"/>
                      <w:kern w:val="0"/>
                      <w:sz w:val="21"/>
                      <w:szCs w:val="21"/>
                      <w:lang w:val="en-US" w:eastAsia="zh-CN" w:bidi="ar"/>
                    </w:rPr>
                    <w:t>高压配电室均为单层楼建筑，并且将主控制室、电容器室、检修室等也设置在内。</w:t>
                  </w:r>
                </w:p>
              </w:tc>
              <w:tc>
                <w:tcPr>
                  <w:tcW w:w="1703" w:type="pct"/>
                  <w:tcBorders>
                    <w:tl2br w:val="nil"/>
                    <w:tr2bl w:val="nil"/>
                  </w:tcBorders>
                  <w:noWrap w:val="0"/>
                  <w:vAlign w:val="center"/>
                </w:tcPr>
                <w:p w14:paraId="74F6D39A">
                  <w:pPr>
                    <w:keepNext w:val="0"/>
                    <w:keepLines w:val="0"/>
                    <w:widowControl/>
                    <w:suppressLineNumbers w:val="0"/>
                    <w:jc w:val="center"/>
                    <w:rPr>
                      <w:rFonts w:hint="eastAsia"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依托现有供电设施。</w:t>
                  </w:r>
                </w:p>
              </w:tc>
              <w:tc>
                <w:tcPr>
                  <w:tcW w:w="557" w:type="pct"/>
                  <w:tcBorders>
                    <w:tl2br w:val="nil"/>
                    <w:tr2bl w:val="nil"/>
                  </w:tcBorders>
                  <w:noWrap w:val="0"/>
                  <w:vAlign w:val="center"/>
                </w:tcPr>
                <w:p w14:paraId="1BA81C9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依托现有</w:t>
                  </w:r>
                </w:p>
              </w:tc>
            </w:tr>
            <w:tr w14:paraId="34E87F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2B0D547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79C8C364">
                  <w:pPr>
                    <w:keepNext w:val="0"/>
                    <w:keepLines w:val="0"/>
                    <w:widowControl/>
                    <w:suppressLineNumbers w:val="0"/>
                    <w:jc w:val="center"/>
                    <w:rPr>
                      <w:rFonts w:hint="eastAsia"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供水</w:t>
                  </w:r>
                </w:p>
              </w:tc>
              <w:tc>
                <w:tcPr>
                  <w:tcW w:w="1616" w:type="pct"/>
                  <w:tcBorders>
                    <w:tl2br w:val="nil"/>
                    <w:tr2bl w:val="nil"/>
                  </w:tcBorders>
                  <w:noWrap w:val="0"/>
                  <w:vAlign w:val="center"/>
                </w:tcPr>
                <w:p w14:paraId="2B2B623F">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矿井总用水量</w:t>
                  </w:r>
                  <w:r>
                    <w:rPr>
                      <w:rFonts w:hint="default" w:ascii="Times New Roman" w:hAnsi="Times New Roman" w:eastAsia="宋体" w:cs="Times New Roman"/>
                      <w:color w:val="auto"/>
                      <w:kern w:val="0"/>
                      <w:sz w:val="21"/>
                      <w:szCs w:val="21"/>
                      <w:lang w:val="en-US" w:eastAsia="zh-CN" w:bidi="ar"/>
                    </w:rPr>
                    <w:t>1084m</w:t>
                  </w:r>
                  <w:r>
                    <w:rPr>
                      <w:rFonts w:hint="default" w:ascii="Times New Roman" w:hAnsi="Times New Roman" w:eastAsia="宋体" w:cs="Times New Roman"/>
                      <w:color w:val="auto"/>
                      <w:kern w:val="0"/>
                      <w:sz w:val="21"/>
                      <w:szCs w:val="21"/>
                      <w:vertAlign w:val="superscript"/>
                      <w:lang w:val="en-US" w:eastAsia="zh-CN" w:bidi="ar"/>
                    </w:rPr>
                    <w:t>3</w:t>
                  </w:r>
                  <w:r>
                    <w:rPr>
                      <w:rFonts w:hint="default" w:ascii="Times New Roman" w:hAnsi="Times New Roman" w:eastAsia="宋体" w:cs="Times New Roman"/>
                      <w:color w:val="auto"/>
                      <w:kern w:val="0"/>
                      <w:sz w:val="21"/>
                      <w:szCs w:val="21"/>
                      <w:lang w:val="en-US" w:eastAsia="zh-CN" w:bidi="ar"/>
                    </w:rPr>
                    <w:t xml:space="preserve"> /d</w:t>
                  </w:r>
                  <w:r>
                    <w:rPr>
                      <w:rFonts w:hint="eastAsia" w:ascii="Times New Roman" w:hAnsi="Times New Roman" w:eastAsia="宋体" w:cs="Times New Roman"/>
                      <w:color w:val="auto"/>
                      <w:kern w:val="0"/>
                      <w:sz w:val="21"/>
                      <w:szCs w:val="21"/>
                      <w:lang w:val="en-US" w:eastAsia="zh-CN" w:bidi="ar"/>
                    </w:rPr>
                    <w:t>，取第四系地下水经除铁消毒处理后作为工业场地一般生产生活用水，矿井水经强化一级处理后回用于井下消防洒水、井下消火灌浆，余量用于鄂温克发电厂。</w:t>
                  </w:r>
                </w:p>
              </w:tc>
              <w:tc>
                <w:tcPr>
                  <w:tcW w:w="1703" w:type="pct"/>
                  <w:tcBorders>
                    <w:tl2br w:val="nil"/>
                    <w:tr2bl w:val="nil"/>
                  </w:tcBorders>
                  <w:noWrap w:val="0"/>
                  <w:vAlign w:val="center"/>
                </w:tcPr>
                <w:p w14:paraId="33618219">
                  <w:pPr>
                    <w:keepNext w:val="0"/>
                    <w:keepLines w:val="0"/>
                    <w:widowControl/>
                    <w:suppressLineNumbers w:val="0"/>
                    <w:jc w:val="center"/>
                    <w:rPr>
                      <w:rFonts w:hint="eastAsia"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本工程运营期生活用水依托场内现有</w:t>
                  </w:r>
                  <w:r>
                    <w:rPr>
                      <w:rFonts w:hint="eastAsia" w:ascii="Times New Roman" w:hAnsi="Times New Roman" w:eastAsia="宋体" w:cs="Times New Roman"/>
                      <w:color w:val="auto"/>
                      <w:kern w:val="0"/>
                      <w:sz w:val="21"/>
                      <w:szCs w:val="21"/>
                      <w:lang w:val="zh-CN" w:eastAsia="zh-CN" w:bidi="ar"/>
                    </w:rPr>
                    <w:t>地下水供水系统</w:t>
                  </w:r>
                  <w:r>
                    <w:rPr>
                      <w:rFonts w:hint="eastAsia" w:ascii="Times New Roman" w:hAnsi="Times New Roman" w:eastAsia="宋体" w:cs="Times New Roman"/>
                      <w:color w:val="auto"/>
                      <w:kern w:val="0"/>
                      <w:sz w:val="21"/>
                      <w:szCs w:val="21"/>
                      <w:lang w:val="en-US" w:eastAsia="zh-CN" w:bidi="ar"/>
                    </w:rPr>
                    <w:t>。</w:t>
                  </w:r>
                </w:p>
              </w:tc>
              <w:tc>
                <w:tcPr>
                  <w:tcW w:w="557" w:type="pct"/>
                  <w:tcBorders>
                    <w:tl2br w:val="nil"/>
                    <w:tr2bl w:val="nil"/>
                  </w:tcBorders>
                  <w:noWrap w:val="0"/>
                  <w:vAlign w:val="center"/>
                </w:tcPr>
                <w:p w14:paraId="63E4E47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依托现有</w:t>
                  </w:r>
                </w:p>
              </w:tc>
            </w:tr>
            <w:tr w14:paraId="1A4B891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2BDD16C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41662E46">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供热</w:t>
                  </w:r>
                </w:p>
              </w:tc>
              <w:tc>
                <w:tcPr>
                  <w:tcW w:w="1616" w:type="pct"/>
                  <w:tcBorders>
                    <w:tl2br w:val="nil"/>
                    <w:tr2bl w:val="nil"/>
                  </w:tcBorders>
                  <w:noWrap w:val="0"/>
                  <w:vAlign w:val="center"/>
                </w:tcPr>
                <w:p w14:paraId="474149E6">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供热热源取自鄂温克发电厂的余热，鄂温克发电厂矿区距矿井工业场地距离为</w:t>
                  </w:r>
                  <w:r>
                    <w:rPr>
                      <w:rFonts w:hint="default" w:ascii="Times New Roman" w:hAnsi="Times New Roman" w:eastAsia="宋体" w:cs="Times New Roman"/>
                      <w:color w:val="auto"/>
                      <w:kern w:val="0"/>
                      <w:sz w:val="21"/>
                      <w:szCs w:val="21"/>
                      <w:lang w:val="en-US" w:eastAsia="zh-CN" w:bidi="ar"/>
                    </w:rPr>
                    <w:t>5.5km</w:t>
                  </w:r>
                  <w:r>
                    <w:rPr>
                      <w:rFonts w:hint="eastAsia" w:ascii="Times New Roman" w:hAnsi="Times New Roman" w:eastAsia="宋体" w:cs="Times New Roman"/>
                      <w:color w:val="auto"/>
                      <w:kern w:val="0"/>
                      <w:sz w:val="21"/>
                      <w:szCs w:val="21"/>
                      <w:lang w:val="en-US" w:eastAsia="zh-CN" w:bidi="ar"/>
                    </w:rPr>
                    <w:t>，符合供热输送距离的要求。在鄂温克发电厂汽机车间处建设一座换网首站热站，由电厂供应</w:t>
                  </w:r>
                  <w:r>
                    <w:rPr>
                      <w:rFonts w:hint="default" w:ascii="Times New Roman" w:hAnsi="Times New Roman" w:eastAsia="宋体" w:cs="Times New Roman"/>
                      <w:color w:val="auto"/>
                      <w:kern w:val="0"/>
                      <w:sz w:val="21"/>
                      <w:szCs w:val="21"/>
                      <w:lang w:val="en-US" w:eastAsia="zh-CN" w:bidi="ar"/>
                    </w:rPr>
                    <w:t xml:space="preserve">0.5-0.6Mpa </w:t>
                  </w:r>
                  <w:r>
                    <w:rPr>
                      <w:rFonts w:hint="eastAsia" w:ascii="Times New Roman" w:hAnsi="Times New Roman" w:eastAsia="宋体" w:cs="Times New Roman"/>
                      <w:color w:val="auto"/>
                      <w:kern w:val="0"/>
                      <w:sz w:val="21"/>
                      <w:szCs w:val="21"/>
                      <w:lang w:val="en-US" w:eastAsia="zh-CN" w:bidi="ar"/>
                    </w:rPr>
                    <w:t>蒸汽经热网交换器交换成</w:t>
                  </w:r>
                  <w:r>
                    <w:rPr>
                      <w:rFonts w:hint="default" w:ascii="Times New Roman" w:hAnsi="Times New Roman" w:eastAsia="宋体" w:cs="Times New Roman"/>
                      <w:color w:val="auto"/>
                      <w:kern w:val="0"/>
                      <w:sz w:val="21"/>
                      <w:szCs w:val="21"/>
                      <w:lang w:val="en-US" w:eastAsia="zh-CN" w:bidi="ar"/>
                    </w:rPr>
                    <w:t>130-90</w:t>
                  </w:r>
                  <w:r>
                    <w:rPr>
                      <w:rFonts w:hint="eastAsia" w:ascii="Times New Roman" w:hAnsi="Times New Roman" w:eastAsia="宋体" w:cs="Times New Roman"/>
                      <w:color w:val="auto"/>
                      <w:kern w:val="0"/>
                      <w:sz w:val="21"/>
                      <w:szCs w:val="21"/>
                      <w:lang w:val="en-US" w:eastAsia="zh-CN" w:bidi="ar"/>
                    </w:rPr>
                    <w:t>℃高温水，经供热管道送往矿区中心区和一、二矿矿井工业场地。本次设计不包括电厂换热站，电厂换热站作为单项设计另出。</w:t>
                  </w:r>
                </w:p>
              </w:tc>
              <w:tc>
                <w:tcPr>
                  <w:tcW w:w="1703" w:type="pct"/>
                  <w:tcBorders>
                    <w:tl2br w:val="nil"/>
                    <w:tr2bl w:val="nil"/>
                  </w:tcBorders>
                  <w:noWrap w:val="0"/>
                  <w:vAlign w:val="center"/>
                </w:tcPr>
                <w:p w14:paraId="3B638861">
                  <w:pPr>
                    <w:keepNext w:val="0"/>
                    <w:keepLines w:val="0"/>
                    <w:widowControl/>
                    <w:suppressLineNumbers w:val="0"/>
                    <w:jc w:val="center"/>
                    <w:rPr>
                      <w:rFonts w:hint="eastAsia"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井筒防冻</w:t>
                  </w:r>
                  <w:r>
                    <w:rPr>
                      <w:rFonts w:hint="eastAsia" w:ascii="Times New Roman" w:hAnsi="Times New Roman" w:eastAsia="宋体" w:cs="Times New Roman"/>
                      <w:color w:val="auto"/>
                      <w:kern w:val="0"/>
                      <w:sz w:val="21"/>
                      <w:szCs w:val="21"/>
                      <w:lang w:val="en-US" w:eastAsia="zh-CN" w:bidi="ar"/>
                    </w:rPr>
                    <w:t>依托矿井工业场地内换热站，</w:t>
                  </w:r>
                  <w:r>
                    <w:rPr>
                      <w:rFonts w:hint="eastAsia" w:ascii="Times New Roman" w:hAnsi="Times New Roman" w:eastAsia="宋体" w:cs="Times New Roman"/>
                      <w:color w:val="auto"/>
                      <w:kern w:val="0"/>
                      <w:sz w:val="21"/>
                      <w:szCs w:val="21"/>
                      <w:lang w:val="en-GB" w:eastAsia="zh-CN" w:bidi="ar"/>
                    </w:rPr>
                    <w:t>热媒为110/70℃高温热水</w:t>
                  </w:r>
                  <w:r>
                    <w:rPr>
                      <w:rFonts w:hint="eastAsia" w:ascii="Times New Roman" w:hAnsi="Times New Roman" w:eastAsia="宋体" w:cs="Times New Roman"/>
                      <w:color w:val="auto"/>
                      <w:kern w:val="0"/>
                      <w:sz w:val="21"/>
                      <w:szCs w:val="21"/>
                      <w:lang w:val="en-US" w:eastAsia="zh-CN" w:bidi="ar"/>
                    </w:rPr>
                    <w:t>。</w:t>
                  </w:r>
                </w:p>
              </w:tc>
              <w:tc>
                <w:tcPr>
                  <w:tcW w:w="557" w:type="pct"/>
                  <w:tcBorders>
                    <w:tl2br w:val="nil"/>
                    <w:tr2bl w:val="nil"/>
                  </w:tcBorders>
                  <w:noWrap w:val="0"/>
                  <w:vAlign w:val="center"/>
                </w:tcPr>
                <w:p w14:paraId="6F778B9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依托现有</w:t>
                  </w:r>
                </w:p>
              </w:tc>
            </w:tr>
            <w:tr w14:paraId="5E8C97A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5D7C06A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719" w:type="pct"/>
                  <w:gridSpan w:val="2"/>
                  <w:tcBorders>
                    <w:tl2br w:val="nil"/>
                    <w:tr2bl w:val="nil"/>
                  </w:tcBorders>
                  <w:noWrap w:val="0"/>
                  <w:vAlign w:val="center"/>
                </w:tcPr>
                <w:p w14:paraId="68D31DAD">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排水</w:t>
                  </w:r>
                </w:p>
              </w:tc>
              <w:tc>
                <w:tcPr>
                  <w:tcW w:w="1616" w:type="pct"/>
                  <w:tcBorders>
                    <w:tl2br w:val="nil"/>
                    <w:tr2bl w:val="nil"/>
                  </w:tcBorders>
                  <w:noWrap w:val="0"/>
                  <w:vAlign w:val="center"/>
                </w:tcPr>
                <w:p w14:paraId="019E0C76">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一般生产、生活污水及公共设施区污水由工业场地排水管网收集后送至一体化处理设备进行二级处理，可复用于井下消火灌浆用水。井下排水经井下水提升泵房送至拟建于矿区生产辅助区的井下水处理厂统一处理，采用湍流絮凝接触沉淀工艺，处理后复用于电厂循环冷却用水</w:t>
                  </w:r>
                  <w:r>
                    <w:rPr>
                      <w:rFonts w:hint="eastAsia" w:cs="Times New Roman"/>
                      <w:color w:val="auto"/>
                      <w:kern w:val="0"/>
                      <w:sz w:val="21"/>
                      <w:szCs w:val="21"/>
                      <w:lang w:val="en-US" w:eastAsia="zh-CN" w:bidi="ar"/>
                    </w:rPr>
                    <w:t>。</w:t>
                  </w:r>
                </w:p>
              </w:tc>
              <w:tc>
                <w:tcPr>
                  <w:tcW w:w="1703" w:type="pct"/>
                  <w:tcBorders>
                    <w:tl2br w:val="nil"/>
                    <w:tr2bl w:val="nil"/>
                  </w:tcBorders>
                  <w:noWrap w:val="0"/>
                  <w:vAlign w:val="center"/>
                </w:tcPr>
                <w:p w14:paraId="7676C76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0"/>
                      <w:sz w:val="21"/>
                      <w:szCs w:val="21"/>
                      <w:lang w:val="en-US" w:eastAsia="zh-CN" w:bidi="ar"/>
                    </w:rPr>
                    <w:t>本项目运营期生活污水依托现有一体化处理设备进行二级处理，回用于鄂温克电厂用水。</w:t>
                  </w:r>
                </w:p>
              </w:tc>
              <w:tc>
                <w:tcPr>
                  <w:tcW w:w="557" w:type="pct"/>
                  <w:tcBorders>
                    <w:tl2br w:val="nil"/>
                    <w:tr2bl w:val="nil"/>
                  </w:tcBorders>
                  <w:noWrap w:val="0"/>
                  <w:vAlign w:val="center"/>
                </w:tcPr>
                <w:p w14:paraId="47FD360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依托现有</w:t>
                  </w:r>
                </w:p>
              </w:tc>
            </w:tr>
            <w:tr w14:paraId="65197A6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restart"/>
                  <w:tcBorders>
                    <w:tl2br w:val="nil"/>
                    <w:tr2bl w:val="nil"/>
                  </w:tcBorders>
                  <w:noWrap w:val="0"/>
                  <w:vAlign w:val="center"/>
                </w:tcPr>
                <w:p w14:paraId="1C7718B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环保</w:t>
                  </w:r>
                </w:p>
                <w:p w14:paraId="71BDFDC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工程</w:t>
                  </w:r>
                </w:p>
              </w:tc>
              <w:tc>
                <w:tcPr>
                  <w:tcW w:w="368" w:type="pct"/>
                  <w:vMerge w:val="restart"/>
                  <w:tcBorders>
                    <w:tl2br w:val="nil"/>
                    <w:tr2bl w:val="nil"/>
                  </w:tcBorders>
                  <w:noWrap w:val="0"/>
                  <w:vAlign w:val="center"/>
                </w:tcPr>
                <w:p w14:paraId="1A8F21CB">
                  <w:pPr>
                    <w:pStyle w:val="53"/>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施工期</w:t>
                  </w:r>
                </w:p>
              </w:tc>
              <w:tc>
                <w:tcPr>
                  <w:tcW w:w="351" w:type="pct"/>
                  <w:tcBorders>
                    <w:tl2br w:val="nil"/>
                    <w:tr2bl w:val="nil"/>
                  </w:tcBorders>
                  <w:shd w:val="clear" w:color="auto" w:fill="auto"/>
                  <w:noWrap w:val="0"/>
                  <w:vAlign w:val="center"/>
                </w:tcPr>
                <w:p w14:paraId="242A9C94">
                  <w:pPr>
                    <w:pStyle w:val="53"/>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废气</w:t>
                  </w:r>
                </w:p>
              </w:tc>
              <w:tc>
                <w:tcPr>
                  <w:tcW w:w="1616" w:type="pct"/>
                  <w:tcBorders>
                    <w:tl2br w:val="nil"/>
                    <w:tr2bl w:val="nil"/>
                  </w:tcBorders>
                  <w:noWrap w:val="0"/>
                  <w:vAlign w:val="center"/>
                </w:tcPr>
                <w:p w14:paraId="0E81DEA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61B93E2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加强管理，文明施工，施工场地硬化并定期洒水抑尘，施工材料封闭运输等。</w:t>
                  </w:r>
                </w:p>
              </w:tc>
              <w:tc>
                <w:tcPr>
                  <w:tcW w:w="557" w:type="pct"/>
                  <w:tcBorders>
                    <w:tl2br w:val="nil"/>
                    <w:tr2bl w:val="nil"/>
                  </w:tcBorders>
                  <w:noWrap w:val="0"/>
                  <w:vAlign w:val="center"/>
                </w:tcPr>
                <w:p w14:paraId="5B93B21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r>
            <w:tr w14:paraId="0EEC377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1D305E6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continue"/>
                  <w:tcBorders>
                    <w:tl2br w:val="nil"/>
                    <w:tr2bl w:val="nil"/>
                  </w:tcBorders>
                  <w:noWrap w:val="0"/>
                  <w:vAlign w:val="center"/>
                </w:tcPr>
                <w:p w14:paraId="6CDCE96B">
                  <w:pPr>
                    <w:pStyle w:val="53"/>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351" w:type="pct"/>
                  <w:tcBorders>
                    <w:tl2br w:val="nil"/>
                    <w:tr2bl w:val="nil"/>
                  </w:tcBorders>
                  <w:shd w:val="clear" w:color="auto" w:fill="auto"/>
                  <w:noWrap w:val="0"/>
                  <w:vAlign w:val="center"/>
                </w:tcPr>
                <w:p w14:paraId="4638EEF2">
                  <w:pPr>
                    <w:pStyle w:val="53"/>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废水</w:t>
                  </w:r>
                </w:p>
              </w:tc>
              <w:tc>
                <w:tcPr>
                  <w:tcW w:w="1616" w:type="pct"/>
                  <w:tcBorders>
                    <w:tl2br w:val="nil"/>
                    <w:tr2bl w:val="nil"/>
                  </w:tcBorders>
                  <w:noWrap w:val="0"/>
                  <w:vAlign w:val="center"/>
                </w:tcPr>
                <w:p w14:paraId="2332B45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w:t>
                  </w:r>
                </w:p>
              </w:tc>
              <w:tc>
                <w:tcPr>
                  <w:tcW w:w="1703" w:type="pct"/>
                  <w:tcBorders>
                    <w:tl2br w:val="nil"/>
                    <w:tr2bl w:val="nil"/>
                  </w:tcBorders>
                  <w:noWrap w:val="0"/>
                  <w:vAlign w:val="center"/>
                </w:tcPr>
                <w:p w14:paraId="5BB6980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施工期产生的矿井涌水和生产废水排至临时沉淀池沉淀后，依托矿区现有矿井涌水处理装置进行处置，处理达到《地表水环境质量标准》（GB3838-2002）</w:t>
                  </w:r>
                  <w:r>
                    <w:rPr>
                      <w:rFonts w:hint="eastAsia" w:ascii="Times New Roman" w:hAnsi="Times New Roman" w:eastAsia="宋体" w:cs="Times New Roman"/>
                      <w:b w:val="0"/>
                      <w:bCs w:val="0"/>
                      <w:color w:val="auto"/>
                      <w:sz w:val="21"/>
                      <w:szCs w:val="21"/>
                      <w:lang w:val="en-US" w:eastAsia="zh-CN"/>
                    </w:rPr>
                    <w:fldChar w:fldCharType="begin"/>
                  </w:r>
                  <w:r>
                    <w:rPr>
                      <w:rFonts w:hint="eastAsia" w:ascii="Times New Roman" w:hAnsi="Times New Roman" w:eastAsia="宋体" w:cs="Times New Roman"/>
                      <w:b w:val="0"/>
                      <w:bCs w:val="0"/>
                      <w:color w:val="auto"/>
                      <w:sz w:val="21"/>
                      <w:szCs w:val="21"/>
                      <w:lang w:val="en-US" w:eastAsia="zh-CN"/>
                    </w:rPr>
                    <w:instrText xml:space="preserve"> = 3 \* ROMAN \* MERGEFORMAT </w:instrText>
                  </w:r>
                  <w:r>
                    <w:rPr>
                      <w:rFonts w:hint="eastAsia" w:ascii="Times New Roman" w:hAnsi="Times New Roman" w:eastAsia="宋体" w:cs="Times New Roman"/>
                      <w:b w:val="0"/>
                      <w:bCs w:val="0"/>
                      <w:color w:val="auto"/>
                      <w:sz w:val="21"/>
                      <w:szCs w:val="21"/>
                      <w:lang w:val="en-US" w:eastAsia="zh-CN"/>
                    </w:rPr>
                    <w:fldChar w:fldCharType="separate"/>
                  </w:r>
                  <w:r>
                    <w:rPr>
                      <w:rFonts w:hint="eastAsia" w:ascii="Times New Roman" w:hAnsi="Times New Roman" w:eastAsia="宋体" w:cs="Times New Roman"/>
                      <w:b w:val="0"/>
                      <w:bCs w:val="0"/>
                      <w:color w:val="auto"/>
                      <w:sz w:val="21"/>
                      <w:szCs w:val="21"/>
                      <w:lang w:val="en-US" w:eastAsia="zh-CN"/>
                    </w:rPr>
                    <w:t>III</w:t>
                  </w:r>
                  <w:r>
                    <w:rPr>
                      <w:rFonts w:hint="eastAsia" w:ascii="Times New Roman" w:hAnsi="Times New Roman" w:eastAsia="宋体" w:cs="Times New Roman"/>
                      <w:b w:val="0"/>
                      <w:bCs w:val="0"/>
                      <w:color w:val="auto"/>
                      <w:sz w:val="21"/>
                      <w:szCs w:val="21"/>
                      <w:lang w:val="en-US" w:eastAsia="zh-CN"/>
                    </w:rPr>
                    <w:fldChar w:fldCharType="end"/>
                  </w:r>
                  <w:r>
                    <w:rPr>
                      <w:rFonts w:hint="eastAsia" w:ascii="Times New Roman" w:hAnsi="Times New Roman" w:eastAsia="宋体" w:cs="Times New Roman"/>
                      <w:b w:val="0"/>
                      <w:bCs w:val="0"/>
                      <w:color w:val="auto"/>
                      <w:sz w:val="21"/>
                      <w:szCs w:val="21"/>
                      <w:lang w:val="en-US" w:eastAsia="zh-CN"/>
                    </w:rPr>
                    <w:t>类标准后，部分回用于鄂温克电厂用水，部分外排至伊敏河；生活污水依托现有一体化处理设备进行二级处理，回用于鄂温克电厂用水</w:t>
                  </w:r>
                  <w:r>
                    <w:rPr>
                      <w:rFonts w:hint="default" w:ascii="Times New Roman" w:hAnsi="Times New Roman" w:eastAsia="宋体" w:cs="Times New Roman"/>
                      <w:b w:val="0"/>
                      <w:bCs w:val="0"/>
                      <w:color w:val="auto"/>
                      <w:sz w:val="21"/>
                      <w:szCs w:val="21"/>
                      <w:lang w:val="en-US" w:eastAsia="zh-CN"/>
                    </w:rPr>
                    <w:t>。</w:t>
                  </w:r>
                </w:p>
              </w:tc>
              <w:tc>
                <w:tcPr>
                  <w:tcW w:w="557" w:type="pct"/>
                  <w:tcBorders>
                    <w:tl2br w:val="nil"/>
                    <w:tr2bl w:val="nil"/>
                  </w:tcBorders>
                  <w:noWrap w:val="0"/>
                  <w:vAlign w:val="center"/>
                </w:tcPr>
                <w:p w14:paraId="733BD24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r>
            <w:tr w14:paraId="7699762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3F1A530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continue"/>
                  <w:tcBorders>
                    <w:tl2br w:val="nil"/>
                    <w:tr2bl w:val="nil"/>
                  </w:tcBorders>
                  <w:noWrap w:val="0"/>
                  <w:vAlign w:val="center"/>
                </w:tcPr>
                <w:p w14:paraId="52AEF2F3">
                  <w:pPr>
                    <w:pStyle w:val="53"/>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351" w:type="pct"/>
                  <w:tcBorders>
                    <w:tl2br w:val="nil"/>
                    <w:tr2bl w:val="nil"/>
                  </w:tcBorders>
                  <w:shd w:val="clear" w:color="auto" w:fill="auto"/>
                  <w:noWrap w:val="0"/>
                  <w:vAlign w:val="center"/>
                </w:tcPr>
                <w:p w14:paraId="7C3946DC">
                  <w:pPr>
                    <w:pStyle w:val="53"/>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固废</w:t>
                  </w:r>
                </w:p>
              </w:tc>
              <w:tc>
                <w:tcPr>
                  <w:tcW w:w="1616" w:type="pct"/>
                  <w:tcBorders>
                    <w:tl2br w:val="nil"/>
                    <w:tr2bl w:val="nil"/>
                  </w:tcBorders>
                  <w:noWrap w:val="0"/>
                  <w:vAlign w:val="center"/>
                </w:tcPr>
                <w:p w14:paraId="7533852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1DE20E0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泥浆通过污泥脱泥机压滤后，泥饼与岩屑、废土石一同委托伊敏盛达实业有限责任公司处置。生活垃圾集中收集，委托呼伦贝尔市石全经贸有限公司处置。</w:t>
                  </w:r>
                </w:p>
              </w:tc>
              <w:tc>
                <w:tcPr>
                  <w:tcW w:w="557" w:type="pct"/>
                  <w:tcBorders>
                    <w:tl2br w:val="nil"/>
                    <w:tr2bl w:val="nil"/>
                  </w:tcBorders>
                  <w:noWrap w:val="0"/>
                  <w:vAlign w:val="center"/>
                </w:tcPr>
                <w:p w14:paraId="217BDF8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r>
            <w:tr w14:paraId="0BA5BB0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269EDB6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continue"/>
                  <w:tcBorders>
                    <w:tl2br w:val="nil"/>
                    <w:tr2bl w:val="nil"/>
                  </w:tcBorders>
                  <w:noWrap w:val="0"/>
                  <w:vAlign w:val="center"/>
                </w:tcPr>
                <w:p w14:paraId="6D16B52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51" w:type="pct"/>
                  <w:tcBorders>
                    <w:tl2br w:val="nil"/>
                    <w:tr2bl w:val="nil"/>
                  </w:tcBorders>
                  <w:shd w:val="clear" w:color="auto" w:fill="auto"/>
                  <w:noWrap w:val="0"/>
                  <w:vAlign w:val="center"/>
                </w:tcPr>
                <w:p w14:paraId="24694ADF">
                  <w:pPr>
                    <w:keepNext w:val="0"/>
                    <w:keepLines w:val="0"/>
                    <w:widowControl w:val="0"/>
                    <w:suppressLineNumbers w:val="0"/>
                    <w:kinsoku/>
                    <w:autoSpaceDE/>
                    <w:autoSpaceDN/>
                    <w:adjustRightInd/>
                    <w:snapToGrid/>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rPr>
                    <w:t>噪声</w:t>
                  </w:r>
                </w:p>
              </w:tc>
              <w:tc>
                <w:tcPr>
                  <w:tcW w:w="1616" w:type="pct"/>
                  <w:tcBorders>
                    <w:tl2br w:val="nil"/>
                    <w:tr2bl w:val="nil"/>
                  </w:tcBorders>
                  <w:noWrap w:val="0"/>
                  <w:vAlign w:val="center"/>
                </w:tcPr>
                <w:p w14:paraId="5E751BB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45C71E6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采用低噪声设备，合理安排作业时间，禁止夜间施工。</w:t>
                  </w:r>
                </w:p>
              </w:tc>
              <w:tc>
                <w:tcPr>
                  <w:tcW w:w="557" w:type="pct"/>
                  <w:tcBorders>
                    <w:tl2br w:val="nil"/>
                    <w:tr2bl w:val="nil"/>
                  </w:tcBorders>
                  <w:noWrap w:val="0"/>
                  <w:vAlign w:val="center"/>
                </w:tcPr>
                <w:p w14:paraId="61FEB87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r>
            <w:tr w14:paraId="513C4A4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1C4175A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restart"/>
                  <w:tcBorders>
                    <w:tl2br w:val="nil"/>
                    <w:tr2bl w:val="nil"/>
                  </w:tcBorders>
                  <w:noWrap w:val="0"/>
                  <w:vAlign w:val="center"/>
                </w:tcPr>
                <w:p w14:paraId="0A6F982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运营期</w:t>
                  </w:r>
                </w:p>
              </w:tc>
              <w:tc>
                <w:tcPr>
                  <w:tcW w:w="351" w:type="pct"/>
                  <w:tcBorders>
                    <w:tl2br w:val="nil"/>
                    <w:tr2bl w:val="nil"/>
                  </w:tcBorders>
                  <w:shd w:val="clear" w:color="auto" w:fill="auto"/>
                  <w:noWrap w:val="0"/>
                  <w:vAlign w:val="center"/>
                </w:tcPr>
                <w:p w14:paraId="5C527CC9">
                  <w:pPr>
                    <w:pStyle w:val="53"/>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废气</w:t>
                  </w:r>
                </w:p>
              </w:tc>
              <w:tc>
                <w:tcPr>
                  <w:tcW w:w="1616" w:type="pct"/>
                  <w:tcBorders>
                    <w:tl2br w:val="nil"/>
                    <w:tr2bl w:val="nil"/>
                  </w:tcBorders>
                  <w:noWrap w:val="0"/>
                  <w:vAlign w:val="center"/>
                </w:tcPr>
                <w:p w14:paraId="0D0C7EF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56EA551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运营期不产生废气。</w:t>
                  </w:r>
                </w:p>
              </w:tc>
              <w:tc>
                <w:tcPr>
                  <w:tcW w:w="557" w:type="pct"/>
                  <w:tcBorders>
                    <w:tl2br w:val="nil"/>
                    <w:tr2bl w:val="nil"/>
                  </w:tcBorders>
                  <w:noWrap w:val="0"/>
                  <w:vAlign w:val="center"/>
                </w:tcPr>
                <w:p w14:paraId="160765E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r>
            <w:tr w14:paraId="4F20871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4C97AAA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continue"/>
                  <w:tcBorders>
                    <w:tl2br w:val="nil"/>
                    <w:tr2bl w:val="nil"/>
                  </w:tcBorders>
                  <w:noWrap w:val="0"/>
                  <w:vAlign w:val="center"/>
                </w:tcPr>
                <w:p w14:paraId="1BF1E5B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51" w:type="pct"/>
                  <w:tcBorders>
                    <w:tl2br w:val="nil"/>
                    <w:tr2bl w:val="nil"/>
                  </w:tcBorders>
                  <w:shd w:val="clear" w:color="auto" w:fill="auto"/>
                  <w:noWrap w:val="0"/>
                  <w:vAlign w:val="center"/>
                </w:tcPr>
                <w:p w14:paraId="1B0E4332">
                  <w:pPr>
                    <w:pStyle w:val="53"/>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废水</w:t>
                  </w:r>
                </w:p>
              </w:tc>
              <w:tc>
                <w:tcPr>
                  <w:tcW w:w="1616" w:type="pct"/>
                  <w:tcBorders>
                    <w:tl2br w:val="nil"/>
                    <w:tr2bl w:val="nil"/>
                  </w:tcBorders>
                  <w:noWrap w:val="0"/>
                  <w:vAlign w:val="center"/>
                </w:tcPr>
                <w:p w14:paraId="17F8726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6E28511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本项目运营期生活污水依托现有一体化处理设备进行二级处理，回用于鄂温克电厂用水。</w:t>
                  </w:r>
                </w:p>
              </w:tc>
              <w:tc>
                <w:tcPr>
                  <w:tcW w:w="557" w:type="pct"/>
                  <w:tcBorders>
                    <w:tl2br w:val="nil"/>
                    <w:tr2bl w:val="nil"/>
                  </w:tcBorders>
                  <w:noWrap w:val="0"/>
                  <w:vAlign w:val="center"/>
                </w:tcPr>
                <w:p w14:paraId="3D07EB8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w:t>
                  </w:r>
                </w:p>
              </w:tc>
            </w:tr>
            <w:tr w14:paraId="4A1B433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7504849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continue"/>
                  <w:tcBorders>
                    <w:tl2br w:val="nil"/>
                    <w:tr2bl w:val="nil"/>
                  </w:tcBorders>
                  <w:noWrap w:val="0"/>
                  <w:vAlign w:val="center"/>
                </w:tcPr>
                <w:p w14:paraId="408246C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51" w:type="pct"/>
                  <w:tcBorders>
                    <w:tl2br w:val="nil"/>
                    <w:tr2bl w:val="nil"/>
                  </w:tcBorders>
                  <w:shd w:val="clear" w:color="auto" w:fill="auto"/>
                  <w:noWrap w:val="0"/>
                  <w:vAlign w:val="center"/>
                </w:tcPr>
                <w:p w14:paraId="45F89D2C">
                  <w:pPr>
                    <w:pStyle w:val="53"/>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固废</w:t>
                  </w:r>
                </w:p>
              </w:tc>
              <w:tc>
                <w:tcPr>
                  <w:tcW w:w="1616" w:type="pct"/>
                  <w:tcBorders>
                    <w:tl2br w:val="nil"/>
                    <w:tr2bl w:val="nil"/>
                  </w:tcBorders>
                  <w:noWrap w:val="0"/>
                  <w:vAlign w:val="center"/>
                </w:tcPr>
                <w:p w14:paraId="77944AF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3D1E3AC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运营期产生的生活垃圾</w:t>
                  </w:r>
                  <w:r>
                    <w:rPr>
                      <w:rFonts w:hint="eastAsia" w:cs="Times New Roman"/>
                      <w:color w:val="auto"/>
                      <w:kern w:val="2"/>
                      <w:sz w:val="21"/>
                      <w:szCs w:val="21"/>
                      <w:lang w:val="en-US" w:eastAsia="zh-CN"/>
                    </w:rPr>
                    <w:t>委托呼伦贝尔市石全经贸有限公司清运</w:t>
                  </w:r>
                  <w:r>
                    <w:rPr>
                      <w:rFonts w:hint="eastAsia" w:eastAsia="宋体" w:cs="Times New Roman"/>
                      <w:color w:val="auto"/>
                      <w:kern w:val="2"/>
                      <w:sz w:val="21"/>
                      <w:szCs w:val="21"/>
                      <w:lang w:val="en-US" w:eastAsia="zh-CN"/>
                    </w:rPr>
                    <w:t>。</w:t>
                  </w:r>
                </w:p>
              </w:tc>
              <w:tc>
                <w:tcPr>
                  <w:tcW w:w="557" w:type="pct"/>
                  <w:tcBorders>
                    <w:tl2br w:val="nil"/>
                    <w:tr2bl w:val="nil"/>
                  </w:tcBorders>
                  <w:noWrap w:val="0"/>
                  <w:vAlign w:val="center"/>
                </w:tcPr>
                <w:p w14:paraId="00F49B5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w:t>
                  </w:r>
                </w:p>
              </w:tc>
            </w:tr>
            <w:tr w14:paraId="7189DB6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03" w:type="pct"/>
                  <w:vMerge w:val="continue"/>
                  <w:tcBorders>
                    <w:tl2br w:val="nil"/>
                    <w:tr2bl w:val="nil"/>
                  </w:tcBorders>
                  <w:noWrap w:val="0"/>
                  <w:vAlign w:val="center"/>
                </w:tcPr>
                <w:p w14:paraId="42909D4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68" w:type="pct"/>
                  <w:vMerge w:val="continue"/>
                  <w:tcBorders>
                    <w:tl2br w:val="nil"/>
                    <w:tr2bl w:val="nil"/>
                  </w:tcBorders>
                  <w:noWrap w:val="0"/>
                  <w:vAlign w:val="center"/>
                </w:tcPr>
                <w:p w14:paraId="3DFD476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51" w:type="pct"/>
                  <w:tcBorders>
                    <w:tl2br w:val="nil"/>
                    <w:tr2bl w:val="nil"/>
                  </w:tcBorders>
                  <w:shd w:val="clear" w:color="auto" w:fill="auto"/>
                  <w:noWrap w:val="0"/>
                  <w:vAlign w:val="center"/>
                </w:tcPr>
                <w:p w14:paraId="6806AE96">
                  <w:pPr>
                    <w:keepNext w:val="0"/>
                    <w:keepLines w:val="0"/>
                    <w:widowControl w:val="0"/>
                    <w:suppressLineNumbers w:val="0"/>
                    <w:kinsoku/>
                    <w:autoSpaceDE/>
                    <w:autoSpaceDN/>
                    <w:adjustRightInd/>
                    <w:snapToGrid/>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rPr>
                    <w:t>噪声</w:t>
                  </w:r>
                </w:p>
              </w:tc>
              <w:tc>
                <w:tcPr>
                  <w:tcW w:w="1616" w:type="pct"/>
                  <w:tcBorders>
                    <w:tl2br w:val="nil"/>
                    <w:tr2bl w:val="nil"/>
                  </w:tcBorders>
                  <w:noWrap w:val="0"/>
                  <w:vAlign w:val="center"/>
                </w:tcPr>
                <w:p w14:paraId="05BAA55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w:t>
                  </w:r>
                </w:p>
              </w:tc>
              <w:tc>
                <w:tcPr>
                  <w:tcW w:w="1703" w:type="pct"/>
                  <w:tcBorders>
                    <w:tl2br w:val="nil"/>
                    <w:tr2bl w:val="nil"/>
                  </w:tcBorders>
                  <w:noWrap w:val="0"/>
                  <w:vAlign w:val="center"/>
                </w:tcPr>
                <w:p w14:paraId="1395492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eastAsia="宋体" w:cs="Times New Roman"/>
                      <w:color w:val="auto"/>
                      <w:kern w:val="2"/>
                      <w:sz w:val="21"/>
                      <w:szCs w:val="21"/>
                      <w:lang w:val="en-US" w:eastAsia="zh-CN"/>
                    </w:rPr>
                    <w:t>选用低噪声设备，采取隔声、减振措施。</w:t>
                  </w:r>
                </w:p>
              </w:tc>
              <w:tc>
                <w:tcPr>
                  <w:tcW w:w="557" w:type="pct"/>
                  <w:tcBorders>
                    <w:tl2br w:val="nil"/>
                    <w:tr2bl w:val="nil"/>
                  </w:tcBorders>
                  <w:noWrap w:val="0"/>
                  <w:vAlign w:val="center"/>
                </w:tcPr>
                <w:p w14:paraId="75B099B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w:t>
                  </w:r>
                </w:p>
              </w:tc>
            </w:tr>
          </w:tbl>
          <w:p w14:paraId="6BA3932E">
            <w:pPr>
              <w:spacing w:line="360" w:lineRule="auto"/>
              <w:ind w:firstLine="480" w:firstLineChars="200"/>
              <w:rPr>
                <w:rFonts w:hint="default" w:ascii="Times New Roman" w:hAnsi="Times New Roman" w:eastAsia="Times New Roman" w:cs="Times New Roman"/>
                <w:b/>
                <w:bCs/>
                <w:color w:val="auto"/>
                <w:sz w:val="24"/>
                <w:szCs w:val="24"/>
                <w:lang w:val="en-US" w:eastAsia="zh-CN"/>
              </w:rPr>
            </w:pPr>
            <w:r>
              <w:rPr>
                <w:rFonts w:hint="eastAsia" w:eastAsia="Times New Roman" w:cs="Times New Roman"/>
                <w:b/>
                <w:bCs/>
                <w:color w:val="auto"/>
                <w:sz w:val="24"/>
                <w:szCs w:val="24"/>
                <w:lang w:val="en-US" w:eastAsia="zh-CN"/>
              </w:rPr>
              <w:t>3、主要工程参数</w:t>
            </w:r>
          </w:p>
          <w:p w14:paraId="7A03C236">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（1）井筒工程</w:t>
            </w:r>
          </w:p>
          <w:p w14:paraId="567CEADB">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fldChar w:fldCharType="begin"/>
            </w:r>
            <w:r>
              <w:rPr>
                <w:rFonts w:hint="eastAsia" w:eastAsia="Times New Roman" w:cs="Times New Roman"/>
                <w:color w:val="auto"/>
                <w:sz w:val="24"/>
                <w:szCs w:val="24"/>
                <w:lang w:val="en-US" w:eastAsia="zh-CN"/>
              </w:rPr>
              <w:instrText xml:space="preserve"> = 1 \* GB3 \* MERGEFORMAT </w:instrText>
            </w:r>
            <w:r>
              <w:rPr>
                <w:rFonts w:hint="eastAsia" w:eastAsia="Times New Roman" w:cs="Times New Roman"/>
                <w:color w:val="auto"/>
                <w:sz w:val="24"/>
                <w:szCs w:val="24"/>
                <w:lang w:val="en-US" w:eastAsia="zh-CN"/>
              </w:rPr>
              <w:fldChar w:fldCharType="separate"/>
            </w:r>
            <w:r>
              <w:rPr>
                <w:rFonts w:hint="eastAsia" w:eastAsia="Times New Roman" w:cs="Times New Roman"/>
                <w:color w:val="auto"/>
                <w:sz w:val="24"/>
                <w:szCs w:val="24"/>
                <w:lang w:val="en-US" w:eastAsia="zh-CN"/>
              </w:rPr>
              <w:t>①</w:t>
            </w:r>
            <w:r>
              <w:rPr>
                <w:rFonts w:hint="eastAsia" w:eastAsia="Times New Roman" w:cs="Times New Roman"/>
                <w:color w:val="auto"/>
                <w:sz w:val="24"/>
                <w:szCs w:val="24"/>
                <w:lang w:val="en-US" w:eastAsia="zh-CN"/>
              </w:rPr>
              <w:fldChar w:fldCharType="end"/>
            </w:r>
            <w:r>
              <w:rPr>
                <w:rFonts w:hint="eastAsia" w:eastAsia="Times New Roman" w:cs="Times New Roman"/>
                <w:color w:val="auto"/>
                <w:sz w:val="24"/>
                <w:szCs w:val="24"/>
                <w:lang w:val="en-US" w:eastAsia="zh-CN"/>
              </w:rPr>
              <w:t>井筒布置</w:t>
            </w:r>
          </w:p>
          <w:p w14:paraId="1330C3DE">
            <w:pPr>
              <w:spacing w:line="360" w:lineRule="auto"/>
              <w:ind w:firstLine="480" w:firstLineChars="200"/>
              <w:rPr>
                <w:rFonts w:hint="eastAsia" w:eastAsia="Times New Roman" w:cs="Times New Roman"/>
                <w:color w:val="auto"/>
                <w:sz w:val="24"/>
                <w:szCs w:val="24"/>
                <w:lang w:val="en-US" w:eastAsia="zh-CN"/>
              </w:rPr>
            </w:pPr>
            <w:bookmarkStart w:id="2" w:name="_Hlk153620474"/>
            <w:r>
              <w:rPr>
                <w:rFonts w:hint="eastAsia" w:eastAsia="Times New Roman" w:cs="Times New Roman"/>
                <w:color w:val="auto"/>
                <w:sz w:val="24"/>
                <w:szCs w:val="24"/>
                <w:lang w:val="en-US" w:eastAsia="zh-CN"/>
              </w:rPr>
              <w:t>井口布置在工业场地东南部，井口坐标为：119°56′47.203″，48°46′1.729″。场地标高为+710.0m，井筒全长5398 m，井筒分为两段，第一段2513m，井筒倾角-6°，落底至+455m进入煤层，第二段沿煤层与井底车场连接，长度为2885m，井底落底标高为+340m。为满足运输缓冲需要，缓坡斜井段考虑2段50m的水平段。弯道水平布置，其中水沟按-3‰控制。</w:t>
            </w:r>
          </w:p>
          <w:bookmarkEnd w:id="2"/>
          <w:p w14:paraId="5DAC3B16">
            <w:pPr>
              <w:spacing w:line="360" w:lineRule="auto"/>
              <w:ind w:firstLine="480" w:firstLineChars="200"/>
              <w:rPr>
                <w:rFonts w:hint="eastAsia" w:eastAsia="Times New Roman" w:cs="Times New Roman"/>
                <w:color w:val="auto"/>
                <w:sz w:val="24"/>
                <w:szCs w:val="24"/>
                <w:lang w:val="en-US" w:eastAsia="zh-CN"/>
              </w:rPr>
            </w:pPr>
            <w:bookmarkStart w:id="3" w:name="_Hlk153627459"/>
            <w:r>
              <w:rPr>
                <w:rFonts w:hint="eastAsia" w:eastAsia="Times New Roman" w:cs="Times New Roman"/>
                <w:color w:val="auto"/>
                <w:sz w:val="24"/>
                <w:szCs w:val="24"/>
                <w:lang w:val="en-US" w:eastAsia="zh-CN"/>
              </w:rPr>
              <w:t>躲避硐在无轨胶轮车运输的井筒中间距不宜大于300m，井筒内共设置17个躲避硐，躲避硐净高1.8m，净宽1.2m，深度为0.8m。</w:t>
            </w:r>
          </w:p>
          <w:p w14:paraId="3363A312">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井筒内单向行车，应设置会让硐室，井下共设置6个会让硐室，每个硐室宽5m，深5m。</w:t>
            </w:r>
          </w:p>
          <w:p w14:paraId="2EA87CD6">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无轨胶轮车运输的斜井井筒，凡连续运行超过800m，均应设置避险硐室，井下设置三个避险硐室，避险硐室呈上坡形式，坡度在8°以内，铺设碎石、细沙等减速带，末端设置防撞装置。</w:t>
            </w:r>
          </w:p>
          <w:bookmarkEnd w:id="3"/>
          <w:p w14:paraId="58A297B8">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fldChar w:fldCharType="begin"/>
            </w:r>
            <w:r>
              <w:rPr>
                <w:rFonts w:hint="eastAsia" w:eastAsia="Times New Roman" w:cs="Times New Roman"/>
                <w:color w:val="auto"/>
                <w:sz w:val="24"/>
                <w:szCs w:val="24"/>
                <w:lang w:val="en-US" w:eastAsia="zh-CN"/>
              </w:rPr>
              <w:instrText xml:space="preserve"> = 2 \* GB3 \* MERGEFORMAT </w:instrText>
            </w:r>
            <w:r>
              <w:rPr>
                <w:rFonts w:hint="eastAsia" w:eastAsia="Times New Roman" w:cs="Times New Roman"/>
                <w:color w:val="auto"/>
                <w:sz w:val="24"/>
                <w:szCs w:val="24"/>
                <w:lang w:val="en-US" w:eastAsia="zh-CN"/>
              </w:rPr>
              <w:fldChar w:fldCharType="separate"/>
            </w:r>
            <w:r>
              <w:rPr>
                <w:rFonts w:hint="eastAsia" w:eastAsia="Times New Roman" w:cs="Times New Roman"/>
                <w:color w:val="auto"/>
                <w:sz w:val="24"/>
                <w:szCs w:val="24"/>
                <w:lang w:val="en-US" w:eastAsia="zh-CN"/>
              </w:rPr>
              <w:t>②</w:t>
            </w:r>
            <w:r>
              <w:rPr>
                <w:rFonts w:hint="eastAsia" w:eastAsia="Times New Roman" w:cs="Times New Roman"/>
                <w:color w:val="auto"/>
                <w:sz w:val="24"/>
                <w:szCs w:val="24"/>
                <w:lang w:val="en-US" w:eastAsia="zh-CN"/>
              </w:rPr>
              <w:fldChar w:fldCharType="end"/>
            </w:r>
            <w:r>
              <w:rPr>
                <w:rFonts w:hint="eastAsia" w:eastAsia="Times New Roman" w:cs="Times New Roman"/>
                <w:color w:val="auto"/>
                <w:sz w:val="24"/>
                <w:szCs w:val="24"/>
                <w:lang w:val="en-US" w:eastAsia="zh-CN"/>
              </w:rPr>
              <w:t>井壁结构</w:t>
            </w:r>
          </w:p>
          <w:p w14:paraId="63A1BC48">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缓坡斜井表土段采用钢筋混凝土支护，支护厚度500mm；基岩段采用盾构施工，管片支护，管片厚度450mm，混凝土强度：表土段为C35。</w:t>
            </w:r>
          </w:p>
          <w:p w14:paraId="698C0495">
            <w:pPr>
              <w:pStyle w:val="7"/>
              <w:spacing w:after="0" w:line="360" w:lineRule="auto"/>
              <w:jc w:val="center"/>
              <w:rPr>
                <w:rFonts w:hint="eastAsia"/>
                <w:b/>
                <w:bCs/>
                <w:color w:val="auto"/>
                <w:szCs w:val="21"/>
              </w:rPr>
            </w:pPr>
            <w:r>
              <w:rPr>
                <w:rFonts w:hint="eastAsia"/>
                <w:b/>
                <w:bCs/>
                <w:color w:val="auto"/>
                <w:szCs w:val="21"/>
              </w:rPr>
              <w:t>表</w:t>
            </w:r>
            <w:r>
              <w:rPr>
                <w:rFonts w:hint="eastAsia"/>
                <w:b/>
                <w:bCs/>
                <w:color w:val="auto"/>
                <w:szCs w:val="21"/>
                <w:lang w:val="en-US" w:eastAsia="zh-CN"/>
              </w:rPr>
              <w:t xml:space="preserve">2-2    </w:t>
            </w:r>
            <w:r>
              <w:rPr>
                <w:rFonts w:hint="eastAsia"/>
                <w:b/>
                <w:bCs/>
                <w:color w:val="auto"/>
                <w:szCs w:val="21"/>
              </w:rPr>
              <w:t>新建缓坡斜井井筒特征表</w:t>
            </w:r>
          </w:p>
          <w:tbl>
            <w:tblPr>
              <w:tblStyle w:val="1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1329"/>
              <w:gridCol w:w="278"/>
              <w:gridCol w:w="2389"/>
              <w:gridCol w:w="3336"/>
            </w:tblGrid>
            <w:tr w14:paraId="4BDA7A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74" w:hRule="atLeast"/>
                <w:jc w:val="center"/>
              </w:trPr>
              <w:tc>
                <w:tcPr>
                  <w:tcW w:w="593" w:type="pct"/>
                  <w:vMerge w:val="restart"/>
                  <w:tcBorders>
                    <w:tl2br w:val="nil"/>
                    <w:tr2bl w:val="nil"/>
                  </w:tcBorders>
                  <w:vAlign w:val="center"/>
                </w:tcPr>
                <w:p w14:paraId="3B98C75C">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序号</w:t>
                  </w:r>
                </w:p>
              </w:tc>
              <w:tc>
                <w:tcPr>
                  <w:tcW w:w="2402" w:type="pct"/>
                  <w:gridSpan w:val="3"/>
                  <w:vMerge w:val="restart"/>
                  <w:tcBorders>
                    <w:tl2br w:val="nil"/>
                    <w:tr2bl w:val="nil"/>
                  </w:tcBorders>
                  <w:vAlign w:val="center"/>
                </w:tcPr>
                <w:p w14:paraId="6F24D83B">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井筒特征</w:t>
                  </w:r>
                </w:p>
              </w:tc>
              <w:tc>
                <w:tcPr>
                  <w:tcW w:w="2006" w:type="pct"/>
                  <w:tcBorders>
                    <w:tl2br w:val="nil"/>
                    <w:tr2bl w:val="nil"/>
                  </w:tcBorders>
                  <w:vAlign w:val="center"/>
                </w:tcPr>
                <w:p w14:paraId="73883808">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井筒名称</w:t>
                  </w:r>
                </w:p>
              </w:tc>
            </w:tr>
            <w:tr w14:paraId="5E4B5F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continue"/>
                  <w:tcBorders>
                    <w:tl2br w:val="nil"/>
                    <w:tr2bl w:val="nil"/>
                  </w:tcBorders>
                  <w:vAlign w:val="center"/>
                </w:tcPr>
                <w:p w14:paraId="179F1F60">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2402" w:type="pct"/>
                  <w:gridSpan w:val="3"/>
                  <w:vMerge w:val="continue"/>
                  <w:tcBorders>
                    <w:tl2br w:val="nil"/>
                    <w:tr2bl w:val="nil"/>
                  </w:tcBorders>
                  <w:vAlign w:val="center"/>
                </w:tcPr>
                <w:p w14:paraId="4E8351C8">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2006" w:type="pct"/>
                  <w:tcBorders>
                    <w:tl2br w:val="nil"/>
                    <w:tr2bl w:val="nil"/>
                  </w:tcBorders>
                  <w:vAlign w:val="center"/>
                </w:tcPr>
                <w:p w14:paraId="1EE5506E">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缓坡斜井</w:t>
                  </w:r>
                </w:p>
              </w:tc>
            </w:tr>
            <w:tr w14:paraId="4D1A0E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restart"/>
                  <w:tcBorders>
                    <w:tl2br w:val="nil"/>
                    <w:tr2bl w:val="nil"/>
                  </w:tcBorders>
                  <w:vAlign w:val="center"/>
                </w:tcPr>
                <w:p w14:paraId="0C9EA5E2">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w:t>
                  </w:r>
                </w:p>
              </w:tc>
              <w:tc>
                <w:tcPr>
                  <w:tcW w:w="799" w:type="pct"/>
                  <w:vMerge w:val="restart"/>
                  <w:tcBorders>
                    <w:tl2br w:val="nil"/>
                    <w:tr2bl w:val="nil"/>
                  </w:tcBorders>
                  <w:vAlign w:val="center"/>
                </w:tcPr>
                <w:p w14:paraId="3D4E7EE8">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井筒坐标</w:t>
                  </w:r>
                </w:p>
              </w:tc>
              <w:tc>
                <w:tcPr>
                  <w:tcW w:w="1602" w:type="pct"/>
                  <w:gridSpan w:val="2"/>
                  <w:tcBorders>
                    <w:tl2br w:val="nil"/>
                    <w:tr2bl w:val="nil"/>
                  </w:tcBorders>
                  <w:vAlign w:val="center"/>
                </w:tcPr>
                <w:p w14:paraId="07675FC7">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cs="Times New Roman"/>
                      <w:color w:val="auto"/>
                      <w:kern w:val="0"/>
                      <w:sz w:val="21"/>
                      <w:szCs w:val="21"/>
                      <w:lang w:val="en-US" w:eastAsia="zh-CN" w:bidi="ar"/>
                    </w:rPr>
                    <w:t>经度</w:t>
                  </w:r>
                </w:p>
              </w:tc>
              <w:tc>
                <w:tcPr>
                  <w:tcW w:w="2006" w:type="pct"/>
                  <w:tcBorders>
                    <w:tl2br w:val="nil"/>
                    <w:tr2bl w:val="nil"/>
                  </w:tcBorders>
                  <w:vAlign w:val="center"/>
                </w:tcPr>
                <w:p w14:paraId="23D21270">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eastAsia="Times New Roman" w:cs="Times New Roman"/>
                      <w:color w:val="auto"/>
                      <w:sz w:val="24"/>
                      <w:szCs w:val="24"/>
                      <w:lang w:val="en-US" w:eastAsia="zh-CN"/>
                    </w:rPr>
                    <w:t>119°56′47.203″</w:t>
                  </w:r>
                </w:p>
              </w:tc>
            </w:tr>
            <w:tr w14:paraId="508A31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continue"/>
                  <w:tcBorders>
                    <w:tl2br w:val="nil"/>
                    <w:tr2bl w:val="nil"/>
                  </w:tcBorders>
                  <w:vAlign w:val="center"/>
                </w:tcPr>
                <w:p w14:paraId="7BAD3C71">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799" w:type="pct"/>
                  <w:vMerge w:val="continue"/>
                  <w:tcBorders>
                    <w:tl2br w:val="nil"/>
                    <w:tr2bl w:val="nil"/>
                  </w:tcBorders>
                  <w:vAlign w:val="center"/>
                </w:tcPr>
                <w:p w14:paraId="3FF4B99B">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1602" w:type="pct"/>
                  <w:gridSpan w:val="2"/>
                  <w:tcBorders>
                    <w:tl2br w:val="nil"/>
                    <w:tr2bl w:val="nil"/>
                  </w:tcBorders>
                  <w:vAlign w:val="center"/>
                </w:tcPr>
                <w:p w14:paraId="2A814135">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cs="Times New Roman"/>
                      <w:color w:val="auto"/>
                      <w:kern w:val="0"/>
                      <w:sz w:val="21"/>
                      <w:szCs w:val="21"/>
                      <w:lang w:val="en-US" w:eastAsia="zh-CN" w:bidi="ar"/>
                    </w:rPr>
                    <w:t>纬度</w:t>
                  </w:r>
                </w:p>
              </w:tc>
              <w:tc>
                <w:tcPr>
                  <w:tcW w:w="2006" w:type="pct"/>
                  <w:tcBorders>
                    <w:tl2br w:val="nil"/>
                    <w:tr2bl w:val="nil"/>
                  </w:tcBorders>
                  <w:vAlign w:val="center"/>
                </w:tcPr>
                <w:p w14:paraId="3BAF5630">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eastAsia="Times New Roman" w:cs="Times New Roman"/>
                      <w:color w:val="auto"/>
                      <w:sz w:val="24"/>
                      <w:szCs w:val="24"/>
                      <w:lang w:val="en-US" w:eastAsia="zh-CN"/>
                    </w:rPr>
                    <w:t>48°46′1.729″</w:t>
                  </w:r>
                </w:p>
              </w:tc>
            </w:tr>
            <w:tr w14:paraId="30087C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609223D9">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w:t>
                  </w:r>
                </w:p>
              </w:tc>
              <w:tc>
                <w:tcPr>
                  <w:tcW w:w="2402" w:type="pct"/>
                  <w:gridSpan w:val="3"/>
                  <w:tcBorders>
                    <w:tl2br w:val="nil"/>
                    <w:tr2bl w:val="nil"/>
                  </w:tcBorders>
                  <w:vAlign w:val="center"/>
                </w:tcPr>
                <w:p w14:paraId="6176239B">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井口标高（</w:t>
                  </w:r>
                  <w:r>
                    <w:rPr>
                      <w:rFonts w:hint="default" w:ascii="Times New Roman" w:hAnsi="Times New Roman" w:eastAsia="宋体" w:cs="Times New Roman"/>
                      <w:color w:val="auto"/>
                      <w:kern w:val="0"/>
                      <w:sz w:val="21"/>
                      <w:szCs w:val="21"/>
                      <w:lang w:val="en-US" w:eastAsia="zh-CN" w:bidi="ar"/>
                    </w:rPr>
                    <w:t>m</w:t>
                  </w:r>
                  <w:r>
                    <w:rPr>
                      <w:rFonts w:hint="eastAsia" w:ascii="Times New Roman" w:hAnsi="Times New Roman" w:eastAsia="宋体" w:cs="Times New Roman"/>
                      <w:color w:val="auto"/>
                      <w:kern w:val="0"/>
                      <w:sz w:val="21"/>
                      <w:szCs w:val="21"/>
                      <w:lang w:val="en-US" w:eastAsia="zh-CN" w:bidi="ar"/>
                    </w:rPr>
                    <w:t>）</w:t>
                  </w:r>
                </w:p>
              </w:tc>
              <w:tc>
                <w:tcPr>
                  <w:tcW w:w="2006" w:type="pct"/>
                  <w:tcBorders>
                    <w:tl2br w:val="nil"/>
                    <w:tr2bl w:val="nil"/>
                  </w:tcBorders>
                  <w:vAlign w:val="center"/>
                </w:tcPr>
                <w:p w14:paraId="0C40E11B">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+710.300</w:t>
                  </w:r>
                </w:p>
              </w:tc>
            </w:tr>
            <w:tr w14:paraId="616682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50A04DAC">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w:t>
                  </w:r>
                </w:p>
              </w:tc>
              <w:tc>
                <w:tcPr>
                  <w:tcW w:w="2402" w:type="pct"/>
                  <w:gridSpan w:val="3"/>
                  <w:tcBorders>
                    <w:tl2br w:val="nil"/>
                    <w:tr2bl w:val="nil"/>
                  </w:tcBorders>
                  <w:vAlign w:val="center"/>
                </w:tcPr>
                <w:p w14:paraId="30D0AEC1">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井筒倾角（</w:t>
                  </w:r>
                  <w:r>
                    <w:rPr>
                      <w:rFonts w:hint="default" w:ascii="Times New Roman" w:hAnsi="Times New Roman" w:eastAsia="宋体" w:cs="Times New Roman"/>
                      <w:color w:val="auto"/>
                      <w:kern w:val="0"/>
                      <w:sz w:val="21"/>
                      <w:szCs w:val="21"/>
                      <w:lang w:val="en-US" w:eastAsia="zh-CN" w:bidi="ar"/>
                    </w:rPr>
                    <w:t>°</w:t>
                  </w:r>
                  <w:r>
                    <w:rPr>
                      <w:rFonts w:hint="eastAsia" w:ascii="Times New Roman" w:hAnsi="Times New Roman" w:eastAsia="宋体" w:cs="Times New Roman"/>
                      <w:color w:val="auto"/>
                      <w:kern w:val="0"/>
                      <w:sz w:val="21"/>
                      <w:szCs w:val="21"/>
                      <w:lang w:val="en-US" w:eastAsia="zh-CN" w:bidi="ar"/>
                    </w:rPr>
                    <w:t>）</w:t>
                  </w:r>
                </w:p>
              </w:tc>
              <w:tc>
                <w:tcPr>
                  <w:tcW w:w="2006" w:type="pct"/>
                  <w:tcBorders>
                    <w:tl2br w:val="nil"/>
                    <w:tr2bl w:val="nil"/>
                  </w:tcBorders>
                  <w:vAlign w:val="center"/>
                </w:tcPr>
                <w:p w14:paraId="50CCF1D6">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6</w:t>
                  </w:r>
                </w:p>
              </w:tc>
            </w:tr>
            <w:tr w14:paraId="3A131D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34B3AC37">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w:t>
                  </w:r>
                </w:p>
              </w:tc>
              <w:tc>
                <w:tcPr>
                  <w:tcW w:w="2402" w:type="pct"/>
                  <w:gridSpan w:val="3"/>
                  <w:tcBorders>
                    <w:tl2br w:val="nil"/>
                    <w:tr2bl w:val="nil"/>
                  </w:tcBorders>
                  <w:vAlign w:val="center"/>
                </w:tcPr>
                <w:p w14:paraId="6BE27BFD">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方位角（</w:t>
                  </w:r>
                  <w:r>
                    <w:rPr>
                      <w:rFonts w:hint="default" w:ascii="Times New Roman" w:hAnsi="Times New Roman" w:eastAsia="宋体" w:cs="Times New Roman"/>
                      <w:color w:val="auto"/>
                      <w:kern w:val="0"/>
                      <w:sz w:val="21"/>
                      <w:szCs w:val="21"/>
                      <w:lang w:val="en-US" w:eastAsia="zh-CN" w:bidi="ar"/>
                    </w:rPr>
                    <w:t>°</w:t>
                  </w:r>
                  <w:r>
                    <w:rPr>
                      <w:rFonts w:hint="eastAsia" w:ascii="Times New Roman" w:hAnsi="Times New Roman" w:eastAsia="宋体" w:cs="Times New Roman"/>
                      <w:color w:val="auto"/>
                      <w:kern w:val="0"/>
                      <w:sz w:val="21"/>
                      <w:szCs w:val="21"/>
                      <w:lang w:val="en-US" w:eastAsia="zh-CN" w:bidi="ar"/>
                    </w:rPr>
                    <w:t>）</w:t>
                  </w:r>
                </w:p>
              </w:tc>
              <w:tc>
                <w:tcPr>
                  <w:tcW w:w="2006" w:type="pct"/>
                  <w:tcBorders>
                    <w:tl2br w:val="nil"/>
                    <w:tr2bl w:val="nil"/>
                  </w:tcBorders>
                  <w:vAlign w:val="center"/>
                </w:tcPr>
                <w:p w14:paraId="6ABB9A16">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0°0'0"</w:t>
                  </w:r>
                </w:p>
              </w:tc>
            </w:tr>
            <w:tr w14:paraId="0D6166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0A608E3A">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w:t>
                  </w:r>
                </w:p>
              </w:tc>
              <w:tc>
                <w:tcPr>
                  <w:tcW w:w="2402" w:type="pct"/>
                  <w:gridSpan w:val="3"/>
                  <w:tcBorders>
                    <w:tl2br w:val="nil"/>
                    <w:tr2bl w:val="nil"/>
                  </w:tcBorders>
                  <w:vAlign w:val="center"/>
                </w:tcPr>
                <w:p w14:paraId="353CF3CE">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井筒落底标高（</w:t>
                  </w:r>
                  <w:r>
                    <w:rPr>
                      <w:rFonts w:hint="default" w:ascii="Times New Roman" w:hAnsi="Times New Roman" w:eastAsia="宋体" w:cs="Times New Roman"/>
                      <w:color w:val="auto"/>
                      <w:kern w:val="0"/>
                      <w:sz w:val="21"/>
                      <w:szCs w:val="21"/>
                      <w:lang w:val="en-US" w:eastAsia="zh-CN" w:bidi="ar"/>
                    </w:rPr>
                    <w:t>m</w:t>
                  </w:r>
                  <w:r>
                    <w:rPr>
                      <w:rFonts w:hint="eastAsia" w:ascii="Times New Roman" w:hAnsi="Times New Roman" w:eastAsia="宋体" w:cs="Times New Roman"/>
                      <w:color w:val="auto"/>
                      <w:kern w:val="0"/>
                      <w:sz w:val="21"/>
                      <w:szCs w:val="21"/>
                      <w:lang w:val="en-US" w:eastAsia="zh-CN" w:bidi="ar"/>
                    </w:rPr>
                    <w:t>）</w:t>
                  </w:r>
                </w:p>
              </w:tc>
              <w:tc>
                <w:tcPr>
                  <w:tcW w:w="2006" w:type="pct"/>
                  <w:tcBorders>
                    <w:tl2br w:val="nil"/>
                    <w:tr2bl w:val="nil"/>
                  </w:tcBorders>
                  <w:vAlign w:val="center"/>
                </w:tcPr>
                <w:p w14:paraId="7E61EA2B">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+455</w:t>
                  </w:r>
                </w:p>
              </w:tc>
            </w:tr>
            <w:tr w14:paraId="3AECE5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6CAB4E28">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6</w:t>
                  </w:r>
                </w:p>
              </w:tc>
              <w:tc>
                <w:tcPr>
                  <w:tcW w:w="2402" w:type="pct"/>
                  <w:gridSpan w:val="3"/>
                  <w:tcBorders>
                    <w:tl2br w:val="nil"/>
                    <w:tr2bl w:val="nil"/>
                  </w:tcBorders>
                  <w:vAlign w:val="center"/>
                </w:tcPr>
                <w:p w14:paraId="02E257A9">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井筒长度（</w:t>
                  </w:r>
                  <w:r>
                    <w:rPr>
                      <w:rFonts w:hint="default" w:ascii="Times New Roman" w:hAnsi="Times New Roman" w:eastAsia="宋体" w:cs="Times New Roman"/>
                      <w:color w:val="auto"/>
                      <w:kern w:val="0"/>
                      <w:sz w:val="21"/>
                      <w:szCs w:val="21"/>
                      <w:lang w:val="en-US" w:eastAsia="zh-CN" w:bidi="ar"/>
                    </w:rPr>
                    <w:t>m</w:t>
                  </w:r>
                  <w:r>
                    <w:rPr>
                      <w:rFonts w:hint="eastAsia" w:ascii="Times New Roman" w:hAnsi="Times New Roman" w:eastAsia="宋体" w:cs="Times New Roman"/>
                      <w:color w:val="auto"/>
                      <w:kern w:val="0"/>
                      <w:sz w:val="21"/>
                      <w:szCs w:val="21"/>
                      <w:lang w:val="en-US" w:eastAsia="zh-CN" w:bidi="ar"/>
                    </w:rPr>
                    <w:t>）</w:t>
                  </w:r>
                </w:p>
                <w:p w14:paraId="40499D13">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（表土</w:t>
                  </w:r>
                  <w:r>
                    <w:rPr>
                      <w:rFonts w:hint="default" w:ascii="Times New Roman" w:hAnsi="Times New Roman" w:eastAsia="宋体" w:cs="Times New Roman"/>
                      <w:color w:val="auto"/>
                      <w:kern w:val="0"/>
                      <w:sz w:val="21"/>
                      <w:szCs w:val="21"/>
                      <w:lang w:val="en-US" w:eastAsia="zh-CN" w:bidi="ar"/>
                    </w:rPr>
                    <w:t>/</w:t>
                  </w:r>
                  <w:r>
                    <w:rPr>
                      <w:rFonts w:hint="eastAsia" w:ascii="Times New Roman" w:hAnsi="Times New Roman" w:eastAsia="宋体" w:cs="Times New Roman"/>
                      <w:color w:val="auto"/>
                      <w:kern w:val="0"/>
                      <w:sz w:val="21"/>
                      <w:szCs w:val="21"/>
                      <w:lang w:val="en-US" w:eastAsia="zh-CN" w:bidi="ar"/>
                    </w:rPr>
                    <w:t>基岩）</w:t>
                  </w:r>
                </w:p>
              </w:tc>
              <w:tc>
                <w:tcPr>
                  <w:tcW w:w="2006" w:type="pct"/>
                  <w:tcBorders>
                    <w:tl2br w:val="nil"/>
                    <w:tr2bl w:val="nil"/>
                  </w:tcBorders>
                  <w:vAlign w:val="center"/>
                </w:tcPr>
                <w:p w14:paraId="631BC1F6">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114/2399</w:t>
                  </w:r>
                </w:p>
              </w:tc>
            </w:tr>
            <w:tr w14:paraId="411643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2D3F0847">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7</w:t>
                  </w:r>
                </w:p>
              </w:tc>
              <w:tc>
                <w:tcPr>
                  <w:tcW w:w="2402" w:type="pct"/>
                  <w:gridSpan w:val="3"/>
                  <w:tcBorders>
                    <w:tl2br w:val="nil"/>
                    <w:tr2bl w:val="nil"/>
                  </w:tcBorders>
                  <w:vAlign w:val="center"/>
                </w:tcPr>
                <w:p w14:paraId="662D5393">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井筒净宽（m</w:t>
                  </w:r>
                  <w:r>
                    <w:rPr>
                      <w:rFonts w:hint="default" w:ascii="Times New Roman" w:hAnsi="Times New Roman" w:eastAsia="宋体" w:cs="Times New Roman"/>
                      <w:color w:val="auto"/>
                      <w:kern w:val="0"/>
                      <w:sz w:val="21"/>
                      <w:szCs w:val="21"/>
                      <w:lang w:val="en-US" w:eastAsia="zh-CN" w:bidi="ar"/>
                    </w:rPr>
                    <w:t>m</w:t>
                  </w:r>
                  <w:r>
                    <w:rPr>
                      <w:rFonts w:hint="eastAsia" w:ascii="Times New Roman" w:hAnsi="Times New Roman" w:eastAsia="宋体" w:cs="Times New Roman"/>
                      <w:color w:val="auto"/>
                      <w:kern w:val="0"/>
                      <w:sz w:val="21"/>
                      <w:szCs w:val="21"/>
                      <w:lang w:val="en-US" w:eastAsia="zh-CN" w:bidi="ar"/>
                    </w:rPr>
                    <w:t>）</w:t>
                  </w:r>
                </w:p>
              </w:tc>
              <w:tc>
                <w:tcPr>
                  <w:tcW w:w="2006" w:type="pct"/>
                  <w:tcBorders>
                    <w:tl2br w:val="nil"/>
                    <w:tr2bl w:val="nil"/>
                  </w:tcBorders>
                  <w:vAlign w:val="center"/>
                </w:tcPr>
                <w:p w14:paraId="73EC08B0">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5600</w:t>
                  </w:r>
                </w:p>
              </w:tc>
            </w:tr>
            <w:tr w14:paraId="0F76AF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0E2546E7">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8</w:t>
                  </w:r>
                </w:p>
              </w:tc>
              <w:tc>
                <w:tcPr>
                  <w:tcW w:w="2402" w:type="pct"/>
                  <w:gridSpan w:val="3"/>
                  <w:tcBorders>
                    <w:tl2br w:val="nil"/>
                    <w:tr2bl w:val="nil"/>
                  </w:tcBorders>
                  <w:vAlign w:val="center"/>
                </w:tcPr>
                <w:p w14:paraId="471DB607">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井筒净断面（</w:t>
                  </w:r>
                  <w:r>
                    <w:rPr>
                      <w:rFonts w:hint="default" w:ascii="Times New Roman" w:hAnsi="Times New Roman" w:eastAsia="宋体" w:cs="Times New Roman"/>
                      <w:color w:val="auto"/>
                      <w:kern w:val="0"/>
                      <w:sz w:val="21"/>
                      <w:szCs w:val="21"/>
                      <w:lang w:val="en-US" w:eastAsia="zh-CN" w:bidi="ar"/>
                    </w:rPr>
                    <w:t>m</w:t>
                  </w:r>
                  <w:r>
                    <w:rPr>
                      <w:rFonts w:hint="default" w:ascii="Times New Roman" w:hAnsi="Times New Roman" w:eastAsia="宋体" w:cs="Times New Roman"/>
                      <w:color w:val="auto"/>
                      <w:kern w:val="0"/>
                      <w:sz w:val="21"/>
                      <w:szCs w:val="21"/>
                      <w:vertAlign w:val="superscript"/>
                      <w:lang w:val="en-US" w:eastAsia="zh-CN" w:bidi="ar"/>
                    </w:rPr>
                    <w:t>2</w:t>
                  </w:r>
                  <w:r>
                    <w:rPr>
                      <w:rFonts w:hint="eastAsia" w:ascii="Times New Roman" w:hAnsi="Times New Roman" w:eastAsia="宋体" w:cs="Times New Roman"/>
                      <w:color w:val="auto"/>
                      <w:kern w:val="0"/>
                      <w:sz w:val="21"/>
                      <w:szCs w:val="21"/>
                      <w:lang w:val="en-US" w:eastAsia="zh-CN" w:bidi="ar"/>
                    </w:rPr>
                    <w:t>）</w:t>
                  </w:r>
                </w:p>
              </w:tc>
              <w:tc>
                <w:tcPr>
                  <w:tcW w:w="2006" w:type="pct"/>
                  <w:tcBorders>
                    <w:tl2br w:val="nil"/>
                    <w:tr2bl w:val="nil"/>
                  </w:tcBorders>
                  <w:vAlign w:val="center"/>
                </w:tcPr>
                <w:p w14:paraId="59DD0787">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23.1/24.6</w:t>
                  </w:r>
                </w:p>
              </w:tc>
            </w:tr>
            <w:tr w14:paraId="1649B3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restart"/>
                  <w:tcBorders>
                    <w:tl2br w:val="nil"/>
                    <w:tr2bl w:val="nil"/>
                  </w:tcBorders>
                  <w:vAlign w:val="center"/>
                </w:tcPr>
                <w:p w14:paraId="5744B73A">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w:t>
                  </w:r>
                </w:p>
              </w:tc>
              <w:tc>
                <w:tcPr>
                  <w:tcW w:w="966" w:type="pct"/>
                  <w:gridSpan w:val="2"/>
                  <w:vMerge w:val="restart"/>
                  <w:tcBorders>
                    <w:tl2br w:val="nil"/>
                    <w:tr2bl w:val="nil"/>
                  </w:tcBorders>
                  <w:vAlign w:val="center"/>
                </w:tcPr>
                <w:p w14:paraId="02360A09">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支护方式</w:t>
                  </w:r>
                </w:p>
              </w:tc>
              <w:tc>
                <w:tcPr>
                  <w:tcW w:w="1435" w:type="pct"/>
                  <w:tcBorders>
                    <w:tl2br w:val="nil"/>
                    <w:tr2bl w:val="nil"/>
                  </w:tcBorders>
                  <w:vAlign w:val="center"/>
                </w:tcPr>
                <w:p w14:paraId="6E2BA633">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表土及风化基岩段</w:t>
                  </w:r>
                </w:p>
              </w:tc>
              <w:tc>
                <w:tcPr>
                  <w:tcW w:w="2006" w:type="pct"/>
                  <w:tcBorders>
                    <w:tl2br w:val="nil"/>
                    <w:tr2bl w:val="nil"/>
                  </w:tcBorders>
                  <w:vAlign w:val="center"/>
                </w:tcPr>
                <w:p w14:paraId="1B93F5CE">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钢筋混凝土</w:t>
                  </w:r>
                </w:p>
              </w:tc>
            </w:tr>
            <w:tr w14:paraId="02FFF2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continue"/>
                  <w:tcBorders>
                    <w:tl2br w:val="nil"/>
                    <w:tr2bl w:val="nil"/>
                  </w:tcBorders>
                  <w:vAlign w:val="center"/>
                </w:tcPr>
                <w:p w14:paraId="24737E63">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966" w:type="pct"/>
                  <w:gridSpan w:val="2"/>
                  <w:vMerge w:val="continue"/>
                  <w:tcBorders>
                    <w:tl2br w:val="nil"/>
                    <w:tr2bl w:val="nil"/>
                  </w:tcBorders>
                  <w:vAlign w:val="center"/>
                </w:tcPr>
                <w:p w14:paraId="7DC44FE3">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1435" w:type="pct"/>
                  <w:tcBorders>
                    <w:tl2br w:val="nil"/>
                    <w:tr2bl w:val="nil"/>
                  </w:tcBorders>
                  <w:vAlign w:val="center"/>
                </w:tcPr>
                <w:p w14:paraId="6F39B2F2">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基岩段</w:t>
                  </w:r>
                </w:p>
              </w:tc>
              <w:tc>
                <w:tcPr>
                  <w:tcW w:w="2006" w:type="pct"/>
                  <w:tcBorders>
                    <w:tl2br w:val="nil"/>
                    <w:tr2bl w:val="nil"/>
                  </w:tcBorders>
                  <w:vAlign w:val="center"/>
                </w:tcPr>
                <w:p w14:paraId="1392D4F2">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管片</w:t>
                  </w:r>
                </w:p>
              </w:tc>
            </w:tr>
            <w:tr w14:paraId="0FD5B49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restart"/>
                  <w:tcBorders>
                    <w:tl2br w:val="nil"/>
                    <w:tr2bl w:val="nil"/>
                  </w:tcBorders>
                  <w:vAlign w:val="center"/>
                </w:tcPr>
                <w:p w14:paraId="2FF78D0A">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10</w:t>
                  </w:r>
                </w:p>
              </w:tc>
              <w:tc>
                <w:tcPr>
                  <w:tcW w:w="966" w:type="pct"/>
                  <w:gridSpan w:val="2"/>
                  <w:vMerge w:val="restart"/>
                  <w:tcBorders>
                    <w:tl2br w:val="nil"/>
                    <w:tr2bl w:val="nil"/>
                  </w:tcBorders>
                  <w:vAlign w:val="center"/>
                </w:tcPr>
                <w:p w14:paraId="46EA77F3">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井壁厚度（</w:t>
                  </w:r>
                  <w:r>
                    <w:rPr>
                      <w:rFonts w:hint="default" w:ascii="Times New Roman" w:hAnsi="Times New Roman" w:eastAsia="宋体" w:cs="Times New Roman"/>
                      <w:color w:val="auto"/>
                      <w:kern w:val="0"/>
                      <w:sz w:val="21"/>
                      <w:szCs w:val="21"/>
                      <w:lang w:val="en-US" w:eastAsia="zh-CN" w:bidi="ar"/>
                    </w:rPr>
                    <w:t>mm</w:t>
                  </w:r>
                  <w:r>
                    <w:rPr>
                      <w:rFonts w:hint="eastAsia" w:ascii="Times New Roman" w:hAnsi="Times New Roman" w:eastAsia="宋体" w:cs="Times New Roman"/>
                      <w:color w:val="auto"/>
                      <w:kern w:val="0"/>
                      <w:sz w:val="21"/>
                      <w:szCs w:val="21"/>
                      <w:lang w:val="en-US" w:eastAsia="zh-CN" w:bidi="ar"/>
                    </w:rPr>
                    <w:t>）</w:t>
                  </w:r>
                </w:p>
              </w:tc>
              <w:tc>
                <w:tcPr>
                  <w:tcW w:w="1435" w:type="pct"/>
                  <w:tcBorders>
                    <w:tl2br w:val="nil"/>
                    <w:tr2bl w:val="nil"/>
                  </w:tcBorders>
                  <w:vAlign w:val="center"/>
                </w:tcPr>
                <w:p w14:paraId="2C08826A">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表土及风化基岩段</w:t>
                  </w:r>
                </w:p>
              </w:tc>
              <w:tc>
                <w:tcPr>
                  <w:tcW w:w="2006" w:type="pct"/>
                  <w:tcBorders>
                    <w:tl2br w:val="nil"/>
                    <w:tr2bl w:val="nil"/>
                  </w:tcBorders>
                  <w:vAlign w:val="center"/>
                </w:tcPr>
                <w:p w14:paraId="5D7FEDE1">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500</w:t>
                  </w:r>
                </w:p>
              </w:tc>
            </w:tr>
            <w:tr w14:paraId="598E95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vMerge w:val="continue"/>
                  <w:tcBorders>
                    <w:tl2br w:val="nil"/>
                    <w:tr2bl w:val="nil"/>
                  </w:tcBorders>
                  <w:vAlign w:val="center"/>
                </w:tcPr>
                <w:p w14:paraId="147EF01C">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966" w:type="pct"/>
                  <w:gridSpan w:val="2"/>
                  <w:vMerge w:val="continue"/>
                  <w:tcBorders>
                    <w:tl2br w:val="nil"/>
                    <w:tr2bl w:val="nil"/>
                  </w:tcBorders>
                  <w:vAlign w:val="center"/>
                </w:tcPr>
                <w:p w14:paraId="64CE2C6D">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p>
              </w:tc>
              <w:tc>
                <w:tcPr>
                  <w:tcW w:w="1435" w:type="pct"/>
                  <w:tcBorders>
                    <w:tl2br w:val="nil"/>
                    <w:tr2bl w:val="nil"/>
                  </w:tcBorders>
                  <w:vAlign w:val="center"/>
                </w:tcPr>
                <w:p w14:paraId="548B2BA9">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基岩段</w:t>
                  </w:r>
                </w:p>
              </w:tc>
              <w:tc>
                <w:tcPr>
                  <w:tcW w:w="2006" w:type="pct"/>
                  <w:tcBorders>
                    <w:tl2br w:val="nil"/>
                    <w:tr2bl w:val="nil"/>
                  </w:tcBorders>
                  <w:vAlign w:val="center"/>
                </w:tcPr>
                <w:p w14:paraId="7A16D8F8">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450</w:t>
                  </w:r>
                </w:p>
              </w:tc>
            </w:tr>
            <w:tr w14:paraId="432386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93" w:type="pct"/>
                  <w:tcBorders>
                    <w:tl2br w:val="nil"/>
                    <w:tr2bl w:val="nil"/>
                  </w:tcBorders>
                  <w:vAlign w:val="center"/>
                </w:tcPr>
                <w:p w14:paraId="4E098565">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11</w:t>
                  </w:r>
                </w:p>
              </w:tc>
              <w:tc>
                <w:tcPr>
                  <w:tcW w:w="2402" w:type="pct"/>
                  <w:gridSpan w:val="3"/>
                  <w:tcBorders>
                    <w:tl2br w:val="nil"/>
                    <w:tr2bl w:val="nil"/>
                  </w:tcBorders>
                  <w:vAlign w:val="center"/>
                </w:tcPr>
                <w:p w14:paraId="5E4F5B3E">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进、回风</w:t>
                  </w:r>
                </w:p>
              </w:tc>
              <w:tc>
                <w:tcPr>
                  <w:tcW w:w="2006" w:type="pct"/>
                  <w:tcBorders>
                    <w:tl2br w:val="nil"/>
                    <w:tr2bl w:val="nil"/>
                  </w:tcBorders>
                  <w:vAlign w:val="center"/>
                </w:tcPr>
                <w:p w14:paraId="256C346A">
                  <w:pPr>
                    <w:keepNext w:val="0"/>
                    <w:keepLines w:val="0"/>
                    <w:widowControl/>
                    <w:suppressLineNumbers w:val="0"/>
                    <w:jc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进风</w:t>
                  </w:r>
                </w:p>
              </w:tc>
            </w:tr>
          </w:tbl>
          <w:p w14:paraId="64E7D746">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fldChar w:fldCharType="begin"/>
            </w:r>
            <w:r>
              <w:rPr>
                <w:rFonts w:hint="eastAsia" w:eastAsia="Times New Roman" w:cs="Times New Roman"/>
                <w:color w:val="auto"/>
                <w:sz w:val="24"/>
                <w:szCs w:val="24"/>
                <w:lang w:val="en-US" w:eastAsia="zh-CN"/>
              </w:rPr>
              <w:instrText xml:space="preserve"> = 3 \* GB3 \* MERGEFORMAT </w:instrText>
            </w:r>
            <w:r>
              <w:rPr>
                <w:rFonts w:hint="eastAsia" w:eastAsia="Times New Roman" w:cs="Times New Roman"/>
                <w:color w:val="auto"/>
                <w:sz w:val="24"/>
                <w:szCs w:val="24"/>
                <w:lang w:val="en-US" w:eastAsia="zh-CN"/>
              </w:rPr>
              <w:fldChar w:fldCharType="separate"/>
            </w:r>
            <w:r>
              <w:rPr>
                <w:rFonts w:hint="eastAsia" w:eastAsia="Times New Roman" w:cs="Times New Roman"/>
                <w:color w:val="auto"/>
                <w:sz w:val="24"/>
                <w:szCs w:val="24"/>
                <w:lang w:val="en-US" w:eastAsia="zh-CN"/>
              </w:rPr>
              <w:t>③</w:t>
            </w:r>
            <w:r>
              <w:rPr>
                <w:rFonts w:hint="eastAsia" w:eastAsia="Times New Roman" w:cs="Times New Roman"/>
                <w:color w:val="auto"/>
                <w:sz w:val="24"/>
                <w:szCs w:val="24"/>
                <w:lang w:val="en-US" w:eastAsia="zh-CN"/>
              </w:rPr>
              <w:fldChar w:fldCharType="end"/>
            </w:r>
            <w:r>
              <w:rPr>
                <w:rFonts w:hint="eastAsia" w:eastAsia="Times New Roman" w:cs="Times New Roman"/>
                <w:color w:val="auto"/>
                <w:sz w:val="24"/>
                <w:szCs w:val="24"/>
                <w:lang w:val="en-US" w:eastAsia="zh-CN"/>
              </w:rPr>
              <w:t>井筒施工方法</w:t>
            </w:r>
          </w:p>
          <w:p w14:paraId="7AA987D6">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敏东一矿位于鄂温克旗，矿井周边均为草原，针对于敏东一矿泥质胶结的特殊地质条件，Ⅱ含水压达到1.1Mpa，适宜选用泥水平衡盾构施工法。</w:t>
            </w:r>
          </w:p>
          <w:p w14:paraId="4FE026F3">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（2）通风系统</w:t>
            </w:r>
          </w:p>
          <w:p w14:paraId="4BE91080">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矿井目前布置3条井筒，分别为主立井、副立井和回风立井，井下共布置一个综放工作面和3个煤巷综掘工作面，矿井通风方式为中央并列式，通风方法为机械抽出式。新增缓坡斜井后，矿井通风方式及通风方法不变。形成主、副、缓坡斜井进风，回风立井回风的通风系统。</w:t>
            </w:r>
          </w:p>
          <w:p w14:paraId="04D1CAAF">
            <w:pPr>
              <w:spacing w:line="360" w:lineRule="auto"/>
              <w:ind w:firstLine="480" w:firstLineChars="200"/>
              <w:rPr>
                <w:rFonts w:hint="eastAsia" w:ascii="Times New Roman" w:hAnsi="Times New Roman" w:eastAsia="Times New Roman" w:cs="Times New Roman"/>
                <w:b/>
                <w:bCs/>
                <w:color w:val="auto"/>
                <w:sz w:val="24"/>
                <w:szCs w:val="24"/>
                <w:lang w:val="en-US" w:eastAsia="zh-CN"/>
              </w:rPr>
            </w:pPr>
            <w:r>
              <w:rPr>
                <w:rFonts w:hint="eastAsia" w:eastAsia="Times New Roman" w:cs="Times New Roman"/>
                <w:b/>
                <w:bCs/>
                <w:color w:val="auto"/>
                <w:sz w:val="24"/>
                <w:szCs w:val="24"/>
                <w:lang w:val="en-US" w:eastAsia="zh-CN"/>
              </w:rPr>
              <w:t>4</w:t>
            </w:r>
            <w:r>
              <w:rPr>
                <w:rFonts w:hint="eastAsia" w:ascii="Times New Roman" w:hAnsi="Times New Roman" w:eastAsia="Times New Roman" w:cs="Times New Roman"/>
                <w:b/>
                <w:bCs/>
                <w:color w:val="auto"/>
                <w:sz w:val="24"/>
                <w:szCs w:val="24"/>
                <w:lang w:val="en-US" w:eastAsia="zh-CN"/>
              </w:rPr>
              <w:t>、工程占地</w:t>
            </w:r>
          </w:p>
          <w:p w14:paraId="7783D18D">
            <w:pPr>
              <w:spacing w:line="360" w:lineRule="auto"/>
              <w:ind w:firstLine="480" w:firstLineChars="200"/>
              <w:rPr>
                <w:rFonts w:hint="eastAsia" w:eastAsia="Times New Roman" w:cs="Times New Roman"/>
                <w:color w:val="auto"/>
                <w:sz w:val="24"/>
                <w:szCs w:val="24"/>
                <w:lang w:val="en-US" w:eastAsia="zh-CN"/>
              </w:rPr>
            </w:pPr>
            <w:r>
              <w:rPr>
                <w:rFonts w:hint="eastAsia" w:eastAsia="Times New Roman" w:cs="Times New Roman"/>
                <w:color w:val="auto"/>
                <w:sz w:val="24"/>
                <w:szCs w:val="24"/>
                <w:lang w:val="en-US" w:eastAsia="zh-CN"/>
              </w:rPr>
              <w:t>本项目位于现有矿井工业场内，不新增占地。</w:t>
            </w:r>
          </w:p>
          <w:p w14:paraId="1573A931">
            <w:pPr>
              <w:spacing w:line="360" w:lineRule="auto"/>
              <w:ind w:firstLine="480" w:firstLineChars="200"/>
              <w:rPr>
                <w:rFonts w:hint="eastAsia" w:ascii="Times New Roman" w:hAnsi="Times New Roman" w:eastAsia="Times New Roman" w:cs="Times New Roman"/>
                <w:b/>
                <w:bCs/>
                <w:color w:val="auto"/>
                <w:sz w:val="24"/>
                <w:szCs w:val="24"/>
                <w:lang w:val="en-US" w:eastAsia="zh-CN"/>
              </w:rPr>
            </w:pPr>
            <w:r>
              <w:rPr>
                <w:rFonts w:hint="eastAsia" w:eastAsia="Times New Roman" w:cs="Times New Roman"/>
                <w:b/>
                <w:bCs/>
                <w:color w:val="auto"/>
                <w:sz w:val="24"/>
                <w:szCs w:val="24"/>
                <w:lang w:val="en-US" w:eastAsia="zh-CN"/>
              </w:rPr>
              <w:t>5</w:t>
            </w:r>
            <w:r>
              <w:rPr>
                <w:rFonts w:hint="eastAsia" w:ascii="Times New Roman" w:hAnsi="Times New Roman" w:eastAsia="Times New Roman" w:cs="Times New Roman"/>
                <w:b/>
                <w:bCs/>
                <w:color w:val="auto"/>
                <w:sz w:val="24"/>
                <w:szCs w:val="24"/>
                <w:lang w:val="en-US" w:eastAsia="zh-CN"/>
              </w:rPr>
              <w:t>、项目主要设备</w:t>
            </w:r>
          </w:p>
          <w:p w14:paraId="36626E5C">
            <w:pPr>
              <w:spacing w:line="360" w:lineRule="auto"/>
              <w:ind w:firstLine="480" w:firstLineChars="200"/>
              <w:rPr>
                <w:rFonts w:hint="eastAsia" w:ascii="Times New Roman" w:hAnsi="Times New Roman" w:eastAsia="Times New Roman" w:cs="Times New Roman"/>
                <w:b w:val="0"/>
                <w:bCs w:val="0"/>
                <w:color w:val="auto"/>
                <w:sz w:val="24"/>
                <w:szCs w:val="24"/>
                <w:lang w:val="en-US" w:eastAsia="zh-CN"/>
              </w:rPr>
            </w:pPr>
            <w:r>
              <w:rPr>
                <w:rFonts w:hint="eastAsia" w:ascii="Times New Roman" w:hAnsi="Times New Roman" w:eastAsia="Times New Roman" w:cs="Times New Roman"/>
                <w:b w:val="0"/>
                <w:bCs w:val="0"/>
                <w:color w:val="auto"/>
                <w:sz w:val="24"/>
                <w:szCs w:val="24"/>
                <w:lang w:val="en-US" w:eastAsia="zh-CN"/>
              </w:rPr>
              <w:t>项目中使用的主要设备情况见表2-</w:t>
            </w:r>
            <w:r>
              <w:rPr>
                <w:rFonts w:hint="eastAsia" w:eastAsia="Times New Roman" w:cs="Times New Roman"/>
                <w:b w:val="0"/>
                <w:bCs w:val="0"/>
                <w:color w:val="auto"/>
                <w:sz w:val="24"/>
                <w:szCs w:val="24"/>
                <w:lang w:val="en-US" w:eastAsia="zh-CN"/>
              </w:rPr>
              <w:t>3</w:t>
            </w:r>
            <w:r>
              <w:rPr>
                <w:rFonts w:hint="eastAsia" w:ascii="Times New Roman" w:hAnsi="Times New Roman" w:eastAsia="Times New Roman" w:cs="Times New Roman"/>
                <w:b w:val="0"/>
                <w:bCs w:val="0"/>
                <w:color w:val="auto"/>
                <w:sz w:val="24"/>
                <w:szCs w:val="24"/>
                <w:lang w:val="en-US" w:eastAsia="zh-CN"/>
              </w:rPr>
              <w:t>。</w:t>
            </w:r>
          </w:p>
          <w:p w14:paraId="333EED5D">
            <w:pPr>
              <w:pStyle w:val="7"/>
              <w:spacing w:after="0" w:line="360" w:lineRule="auto"/>
              <w:jc w:val="center"/>
              <w:rPr>
                <w:rFonts w:hint="eastAsia"/>
                <w:b/>
                <w:bCs/>
                <w:color w:val="auto"/>
                <w:szCs w:val="21"/>
                <w:lang w:val="en-US" w:eastAsia="zh-CN"/>
              </w:rPr>
            </w:pPr>
            <w:r>
              <w:rPr>
                <w:rFonts w:hint="eastAsia"/>
                <w:b/>
                <w:bCs/>
                <w:color w:val="auto"/>
                <w:szCs w:val="21"/>
                <w:lang w:val="en-US" w:eastAsia="zh-CN"/>
              </w:rPr>
              <w:t>表2-3    本次新增主要设备一览表</w:t>
            </w:r>
          </w:p>
          <w:tbl>
            <w:tblPr>
              <w:tblStyle w:val="1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57" w:type="dxa"/>
                <w:bottom w:w="0" w:type="dxa"/>
                <w:right w:w="57" w:type="dxa"/>
              </w:tblCellMar>
            </w:tblPr>
            <w:tblGrid>
              <w:gridCol w:w="892"/>
              <w:gridCol w:w="2643"/>
              <w:gridCol w:w="2898"/>
              <w:gridCol w:w="837"/>
              <w:gridCol w:w="1045"/>
            </w:tblGrid>
            <w:tr w14:paraId="37AC42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25EE8DC3">
                  <w:pPr>
                    <w:widowControl/>
                    <w:jc w:val="center"/>
                    <w:rPr>
                      <w:color w:val="auto"/>
                      <w:kern w:val="0"/>
                      <w:szCs w:val="21"/>
                    </w:rPr>
                  </w:pPr>
                  <w:r>
                    <w:rPr>
                      <w:color w:val="auto"/>
                      <w:kern w:val="0"/>
                      <w:szCs w:val="21"/>
                    </w:rPr>
                    <w:t>序号</w:t>
                  </w:r>
                </w:p>
              </w:tc>
              <w:tc>
                <w:tcPr>
                  <w:tcW w:w="1589" w:type="pct"/>
                  <w:tcBorders>
                    <w:tl2br w:val="nil"/>
                    <w:tr2bl w:val="nil"/>
                  </w:tcBorders>
                  <w:shd w:val="clear" w:color="auto" w:fill="auto"/>
                  <w:vAlign w:val="center"/>
                </w:tcPr>
                <w:p w14:paraId="4BC13AE5">
                  <w:pPr>
                    <w:widowControl/>
                    <w:jc w:val="center"/>
                    <w:rPr>
                      <w:color w:val="auto"/>
                      <w:kern w:val="0"/>
                      <w:szCs w:val="21"/>
                    </w:rPr>
                  </w:pPr>
                  <w:r>
                    <w:rPr>
                      <w:color w:val="auto"/>
                      <w:kern w:val="0"/>
                      <w:szCs w:val="21"/>
                    </w:rPr>
                    <w:t>设备名称</w:t>
                  </w:r>
                </w:p>
              </w:tc>
              <w:tc>
                <w:tcPr>
                  <w:tcW w:w="1742" w:type="pct"/>
                  <w:tcBorders>
                    <w:tl2br w:val="nil"/>
                    <w:tr2bl w:val="nil"/>
                  </w:tcBorders>
                  <w:shd w:val="clear" w:color="auto" w:fill="auto"/>
                  <w:vAlign w:val="center"/>
                </w:tcPr>
                <w:p w14:paraId="4EFD40DA">
                  <w:pPr>
                    <w:widowControl/>
                    <w:jc w:val="center"/>
                    <w:rPr>
                      <w:color w:val="auto"/>
                      <w:kern w:val="0"/>
                      <w:szCs w:val="21"/>
                    </w:rPr>
                  </w:pPr>
                  <w:r>
                    <w:rPr>
                      <w:color w:val="auto"/>
                      <w:kern w:val="0"/>
                      <w:szCs w:val="21"/>
                    </w:rPr>
                    <w:t>型号规格</w:t>
                  </w:r>
                </w:p>
              </w:tc>
              <w:tc>
                <w:tcPr>
                  <w:tcW w:w="503" w:type="pct"/>
                  <w:tcBorders>
                    <w:tl2br w:val="nil"/>
                    <w:tr2bl w:val="nil"/>
                  </w:tcBorders>
                  <w:shd w:val="clear" w:color="auto" w:fill="auto"/>
                  <w:vAlign w:val="center"/>
                </w:tcPr>
                <w:p w14:paraId="64ADC6FB">
                  <w:pPr>
                    <w:widowControl/>
                    <w:jc w:val="center"/>
                    <w:rPr>
                      <w:color w:val="auto"/>
                      <w:kern w:val="0"/>
                      <w:szCs w:val="21"/>
                    </w:rPr>
                  </w:pPr>
                  <w:r>
                    <w:rPr>
                      <w:color w:val="auto"/>
                      <w:kern w:val="0"/>
                      <w:szCs w:val="21"/>
                    </w:rPr>
                    <w:t>单位</w:t>
                  </w:r>
                </w:p>
              </w:tc>
              <w:tc>
                <w:tcPr>
                  <w:tcW w:w="628" w:type="pct"/>
                  <w:tcBorders>
                    <w:tl2br w:val="nil"/>
                    <w:tr2bl w:val="nil"/>
                  </w:tcBorders>
                  <w:shd w:val="clear" w:color="auto" w:fill="auto"/>
                  <w:vAlign w:val="center"/>
                </w:tcPr>
                <w:p w14:paraId="79B77893">
                  <w:pPr>
                    <w:widowControl/>
                    <w:jc w:val="center"/>
                    <w:rPr>
                      <w:color w:val="auto"/>
                      <w:kern w:val="0"/>
                      <w:szCs w:val="21"/>
                    </w:rPr>
                  </w:pPr>
                  <w:r>
                    <w:rPr>
                      <w:color w:val="auto"/>
                      <w:kern w:val="0"/>
                      <w:szCs w:val="21"/>
                    </w:rPr>
                    <w:t>数量</w:t>
                  </w:r>
                </w:p>
              </w:tc>
            </w:tr>
            <w:tr w14:paraId="4C8F5D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66718982">
                  <w:pPr>
                    <w:widowControl/>
                    <w:jc w:val="center"/>
                    <w:rPr>
                      <w:color w:val="auto"/>
                      <w:kern w:val="0"/>
                      <w:szCs w:val="21"/>
                    </w:rPr>
                  </w:pPr>
                  <w:r>
                    <w:rPr>
                      <w:color w:val="auto"/>
                      <w:kern w:val="0"/>
                      <w:szCs w:val="21"/>
                    </w:rPr>
                    <w:t>1</w:t>
                  </w:r>
                </w:p>
              </w:tc>
              <w:tc>
                <w:tcPr>
                  <w:tcW w:w="1589" w:type="pct"/>
                  <w:tcBorders>
                    <w:tl2br w:val="nil"/>
                    <w:tr2bl w:val="nil"/>
                  </w:tcBorders>
                  <w:shd w:val="clear" w:color="auto" w:fill="auto"/>
                  <w:vAlign w:val="center"/>
                </w:tcPr>
                <w:p w14:paraId="2CB52FCC">
                  <w:pPr>
                    <w:widowControl/>
                    <w:jc w:val="center"/>
                    <w:rPr>
                      <w:color w:val="auto"/>
                      <w:kern w:val="0"/>
                      <w:szCs w:val="21"/>
                    </w:rPr>
                  </w:pPr>
                  <w:r>
                    <w:rPr>
                      <w:rFonts w:hint="eastAsia"/>
                      <w:color w:val="auto"/>
                      <w:kern w:val="0"/>
                      <w:szCs w:val="21"/>
                    </w:rPr>
                    <w:t>多绳提升机</w:t>
                  </w:r>
                </w:p>
              </w:tc>
              <w:tc>
                <w:tcPr>
                  <w:tcW w:w="1742" w:type="pct"/>
                  <w:tcBorders>
                    <w:tl2br w:val="nil"/>
                    <w:tr2bl w:val="nil"/>
                  </w:tcBorders>
                  <w:shd w:val="clear" w:color="auto" w:fill="auto"/>
                  <w:vAlign w:val="center"/>
                </w:tcPr>
                <w:p w14:paraId="3DF76A58">
                  <w:pPr>
                    <w:widowControl/>
                    <w:jc w:val="center"/>
                    <w:rPr>
                      <w:color w:val="auto"/>
                      <w:kern w:val="0"/>
                      <w:szCs w:val="21"/>
                    </w:rPr>
                  </w:pPr>
                  <w:r>
                    <w:rPr>
                      <w:rFonts w:hint="eastAsia"/>
                      <w:color w:val="auto"/>
                      <w:kern w:val="0"/>
                      <w:szCs w:val="21"/>
                    </w:rPr>
                    <w:t>JKM-4×4（Ⅲ）</w:t>
                  </w:r>
                </w:p>
              </w:tc>
              <w:tc>
                <w:tcPr>
                  <w:tcW w:w="503" w:type="pct"/>
                  <w:tcBorders>
                    <w:tl2br w:val="nil"/>
                    <w:tr2bl w:val="nil"/>
                  </w:tcBorders>
                  <w:shd w:val="clear" w:color="auto" w:fill="auto"/>
                  <w:vAlign w:val="center"/>
                </w:tcPr>
                <w:p w14:paraId="57B78583">
                  <w:pPr>
                    <w:widowControl/>
                    <w:jc w:val="center"/>
                    <w:rPr>
                      <w:color w:val="auto"/>
                      <w:kern w:val="0"/>
                      <w:szCs w:val="21"/>
                    </w:rPr>
                  </w:pPr>
                  <w:r>
                    <w:rPr>
                      <w:color w:val="auto"/>
                      <w:kern w:val="0"/>
                      <w:szCs w:val="21"/>
                    </w:rPr>
                    <w:t>台</w:t>
                  </w:r>
                </w:p>
              </w:tc>
              <w:tc>
                <w:tcPr>
                  <w:tcW w:w="628" w:type="pct"/>
                  <w:tcBorders>
                    <w:tl2br w:val="nil"/>
                    <w:tr2bl w:val="nil"/>
                  </w:tcBorders>
                  <w:shd w:val="clear" w:color="auto" w:fill="auto"/>
                  <w:vAlign w:val="center"/>
                </w:tcPr>
                <w:p w14:paraId="3689E0BC">
                  <w:pPr>
                    <w:widowControl/>
                    <w:jc w:val="center"/>
                    <w:rPr>
                      <w:color w:val="auto"/>
                      <w:kern w:val="0"/>
                      <w:szCs w:val="21"/>
                    </w:rPr>
                  </w:pPr>
                  <w:r>
                    <w:rPr>
                      <w:color w:val="auto"/>
                      <w:kern w:val="0"/>
                      <w:szCs w:val="21"/>
                    </w:rPr>
                    <w:t>1</w:t>
                  </w:r>
                </w:p>
              </w:tc>
            </w:tr>
            <w:tr w14:paraId="30ADD5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0328FD9D">
                  <w:pPr>
                    <w:widowControl/>
                    <w:jc w:val="center"/>
                    <w:rPr>
                      <w:rFonts w:hint="eastAsia"/>
                      <w:color w:val="auto"/>
                      <w:kern w:val="0"/>
                      <w:szCs w:val="21"/>
                      <w:lang w:eastAsia="zh-CN"/>
                    </w:rPr>
                  </w:pPr>
                  <w:r>
                    <w:rPr>
                      <w:rFonts w:hint="eastAsia"/>
                      <w:color w:val="auto"/>
                      <w:kern w:val="0"/>
                      <w:szCs w:val="21"/>
                      <w:lang w:val="en-US" w:eastAsia="zh-CN"/>
                    </w:rPr>
                    <w:t>2</w:t>
                  </w:r>
                </w:p>
              </w:tc>
              <w:tc>
                <w:tcPr>
                  <w:tcW w:w="1589" w:type="pct"/>
                  <w:tcBorders>
                    <w:tl2br w:val="nil"/>
                    <w:tr2bl w:val="nil"/>
                  </w:tcBorders>
                  <w:shd w:val="clear" w:color="auto" w:fill="auto"/>
                  <w:vAlign w:val="center"/>
                </w:tcPr>
                <w:p w14:paraId="56961712">
                  <w:pPr>
                    <w:widowControl/>
                    <w:jc w:val="center"/>
                    <w:rPr>
                      <w:color w:val="auto"/>
                      <w:kern w:val="0"/>
                      <w:szCs w:val="21"/>
                    </w:rPr>
                  </w:pPr>
                  <w:r>
                    <w:rPr>
                      <w:rFonts w:hint="eastAsia"/>
                      <w:color w:val="auto"/>
                      <w:kern w:val="0"/>
                      <w:szCs w:val="21"/>
                    </w:rPr>
                    <w:t>直流电机</w:t>
                  </w:r>
                </w:p>
              </w:tc>
              <w:tc>
                <w:tcPr>
                  <w:tcW w:w="1742" w:type="pct"/>
                  <w:tcBorders>
                    <w:tl2br w:val="nil"/>
                    <w:tr2bl w:val="nil"/>
                  </w:tcBorders>
                  <w:shd w:val="clear" w:color="auto" w:fill="auto"/>
                  <w:vAlign w:val="center"/>
                </w:tcPr>
                <w:p w14:paraId="56FFFFBB">
                  <w:pPr>
                    <w:widowControl/>
                    <w:jc w:val="center"/>
                    <w:rPr>
                      <w:color w:val="auto"/>
                      <w:kern w:val="0"/>
                      <w:szCs w:val="21"/>
                    </w:rPr>
                  </w:pPr>
                  <w:r>
                    <w:rPr>
                      <w:rFonts w:hint="eastAsia"/>
                      <w:color w:val="auto"/>
                      <w:kern w:val="0"/>
                      <w:szCs w:val="21"/>
                    </w:rPr>
                    <w:t>1500kW</w:t>
                  </w:r>
                </w:p>
              </w:tc>
              <w:tc>
                <w:tcPr>
                  <w:tcW w:w="503" w:type="pct"/>
                  <w:tcBorders>
                    <w:tl2br w:val="nil"/>
                    <w:tr2bl w:val="nil"/>
                  </w:tcBorders>
                  <w:shd w:val="clear" w:color="auto" w:fill="auto"/>
                  <w:vAlign w:val="center"/>
                </w:tcPr>
                <w:p w14:paraId="360292E2">
                  <w:pPr>
                    <w:widowControl/>
                    <w:jc w:val="center"/>
                    <w:rPr>
                      <w:color w:val="auto"/>
                      <w:kern w:val="0"/>
                      <w:szCs w:val="21"/>
                    </w:rPr>
                  </w:pPr>
                  <w:r>
                    <w:rPr>
                      <w:color w:val="auto"/>
                      <w:kern w:val="0"/>
                      <w:szCs w:val="21"/>
                    </w:rPr>
                    <w:t>台</w:t>
                  </w:r>
                </w:p>
              </w:tc>
              <w:tc>
                <w:tcPr>
                  <w:tcW w:w="628" w:type="pct"/>
                  <w:tcBorders>
                    <w:tl2br w:val="nil"/>
                    <w:tr2bl w:val="nil"/>
                  </w:tcBorders>
                  <w:shd w:val="clear" w:color="auto" w:fill="auto"/>
                  <w:vAlign w:val="center"/>
                </w:tcPr>
                <w:p w14:paraId="1BC9BBCD">
                  <w:pPr>
                    <w:widowControl/>
                    <w:jc w:val="center"/>
                    <w:rPr>
                      <w:color w:val="auto"/>
                      <w:kern w:val="0"/>
                      <w:szCs w:val="21"/>
                    </w:rPr>
                  </w:pPr>
                  <w:r>
                    <w:rPr>
                      <w:color w:val="auto"/>
                      <w:kern w:val="0"/>
                      <w:szCs w:val="21"/>
                    </w:rPr>
                    <w:t>1</w:t>
                  </w:r>
                </w:p>
              </w:tc>
            </w:tr>
            <w:tr w14:paraId="017CA0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17D39CAF">
                  <w:pPr>
                    <w:widowControl/>
                    <w:jc w:val="center"/>
                    <w:rPr>
                      <w:rFonts w:hint="eastAsia"/>
                      <w:color w:val="auto"/>
                      <w:kern w:val="0"/>
                      <w:szCs w:val="21"/>
                      <w:lang w:eastAsia="zh-CN"/>
                    </w:rPr>
                  </w:pPr>
                  <w:r>
                    <w:rPr>
                      <w:rFonts w:hint="eastAsia"/>
                      <w:color w:val="auto"/>
                      <w:kern w:val="0"/>
                      <w:szCs w:val="21"/>
                      <w:lang w:val="en-US" w:eastAsia="zh-CN"/>
                    </w:rPr>
                    <w:t>3</w:t>
                  </w:r>
                </w:p>
              </w:tc>
              <w:tc>
                <w:tcPr>
                  <w:tcW w:w="1589" w:type="pct"/>
                  <w:tcBorders>
                    <w:tl2br w:val="nil"/>
                    <w:tr2bl w:val="nil"/>
                  </w:tcBorders>
                  <w:shd w:val="clear" w:color="auto" w:fill="auto"/>
                  <w:vAlign w:val="center"/>
                </w:tcPr>
                <w:p w14:paraId="2C2E9F32">
                  <w:pPr>
                    <w:widowControl/>
                    <w:jc w:val="center"/>
                    <w:rPr>
                      <w:color w:val="auto"/>
                      <w:kern w:val="0"/>
                      <w:szCs w:val="21"/>
                    </w:rPr>
                  </w:pPr>
                  <w:r>
                    <w:rPr>
                      <w:rFonts w:hint="eastAsia"/>
                      <w:color w:val="auto"/>
                      <w:kern w:val="0"/>
                      <w:szCs w:val="21"/>
                    </w:rPr>
                    <w:t>矿井轴流式通风机</w:t>
                  </w:r>
                </w:p>
              </w:tc>
              <w:tc>
                <w:tcPr>
                  <w:tcW w:w="1742" w:type="pct"/>
                  <w:tcBorders>
                    <w:tl2br w:val="nil"/>
                    <w:tr2bl w:val="nil"/>
                  </w:tcBorders>
                  <w:shd w:val="clear" w:color="auto" w:fill="auto"/>
                  <w:vAlign w:val="center"/>
                </w:tcPr>
                <w:p w14:paraId="139E0ECB">
                  <w:pPr>
                    <w:widowControl/>
                    <w:jc w:val="center"/>
                    <w:rPr>
                      <w:color w:val="auto"/>
                      <w:kern w:val="0"/>
                      <w:szCs w:val="21"/>
                    </w:rPr>
                  </w:pPr>
                  <w:r>
                    <w:rPr>
                      <w:rFonts w:hint="eastAsia"/>
                      <w:color w:val="auto"/>
                      <w:kern w:val="0"/>
                      <w:szCs w:val="21"/>
                    </w:rPr>
                    <w:t>FCZ-2640/1600C</w:t>
                  </w:r>
                </w:p>
              </w:tc>
              <w:tc>
                <w:tcPr>
                  <w:tcW w:w="503" w:type="pct"/>
                  <w:tcBorders>
                    <w:tl2br w:val="nil"/>
                    <w:tr2bl w:val="nil"/>
                  </w:tcBorders>
                  <w:shd w:val="clear" w:color="auto" w:fill="auto"/>
                  <w:vAlign w:val="center"/>
                </w:tcPr>
                <w:p w14:paraId="31AA3C1E">
                  <w:pPr>
                    <w:widowControl/>
                    <w:jc w:val="center"/>
                    <w:rPr>
                      <w:color w:val="auto"/>
                      <w:kern w:val="0"/>
                      <w:szCs w:val="21"/>
                    </w:rPr>
                  </w:pPr>
                  <w:r>
                    <w:rPr>
                      <w:color w:val="auto"/>
                      <w:kern w:val="0"/>
                      <w:szCs w:val="21"/>
                    </w:rPr>
                    <w:t>台</w:t>
                  </w:r>
                </w:p>
              </w:tc>
              <w:tc>
                <w:tcPr>
                  <w:tcW w:w="628" w:type="pct"/>
                  <w:tcBorders>
                    <w:tl2br w:val="nil"/>
                    <w:tr2bl w:val="nil"/>
                  </w:tcBorders>
                  <w:shd w:val="clear" w:color="auto" w:fill="auto"/>
                  <w:vAlign w:val="center"/>
                </w:tcPr>
                <w:p w14:paraId="6AD1117B">
                  <w:pPr>
                    <w:widowControl/>
                    <w:jc w:val="center"/>
                    <w:rPr>
                      <w:rFonts w:hint="eastAsia"/>
                      <w:color w:val="auto"/>
                      <w:kern w:val="0"/>
                      <w:szCs w:val="21"/>
                      <w:lang w:eastAsia="zh-CN"/>
                    </w:rPr>
                  </w:pPr>
                  <w:r>
                    <w:rPr>
                      <w:rFonts w:hint="eastAsia"/>
                      <w:color w:val="auto"/>
                      <w:kern w:val="0"/>
                      <w:szCs w:val="21"/>
                      <w:lang w:val="en-US" w:eastAsia="zh-CN"/>
                    </w:rPr>
                    <w:t>2</w:t>
                  </w:r>
                </w:p>
              </w:tc>
            </w:tr>
            <w:tr w14:paraId="5E4676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701CB411">
                  <w:pPr>
                    <w:widowControl/>
                    <w:jc w:val="center"/>
                    <w:rPr>
                      <w:rFonts w:hint="eastAsia"/>
                      <w:color w:val="auto"/>
                      <w:kern w:val="0"/>
                      <w:szCs w:val="21"/>
                      <w:lang w:eastAsia="zh-CN"/>
                    </w:rPr>
                  </w:pPr>
                  <w:r>
                    <w:rPr>
                      <w:rFonts w:hint="eastAsia"/>
                      <w:color w:val="auto"/>
                      <w:kern w:val="0"/>
                      <w:szCs w:val="21"/>
                      <w:lang w:val="en-US" w:eastAsia="zh-CN"/>
                    </w:rPr>
                    <w:t>4</w:t>
                  </w:r>
                </w:p>
              </w:tc>
              <w:tc>
                <w:tcPr>
                  <w:tcW w:w="1589" w:type="pct"/>
                  <w:tcBorders>
                    <w:tl2br w:val="nil"/>
                    <w:tr2bl w:val="nil"/>
                  </w:tcBorders>
                  <w:shd w:val="clear" w:color="auto" w:fill="auto"/>
                  <w:vAlign w:val="center"/>
                </w:tcPr>
                <w:p w14:paraId="1834D1F6">
                  <w:pPr>
                    <w:widowControl/>
                    <w:jc w:val="center"/>
                    <w:rPr>
                      <w:color w:val="auto"/>
                      <w:kern w:val="0"/>
                      <w:szCs w:val="21"/>
                    </w:rPr>
                  </w:pPr>
                  <w:r>
                    <w:rPr>
                      <w:rFonts w:hint="eastAsia"/>
                      <w:color w:val="auto"/>
                      <w:kern w:val="0"/>
                      <w:szCs w:val="21"/>
                    </w:rPr>
                    <w:t>高压变频调速三相异步电动机</w:t>
                  </w:r>
                </w:p>
              </w:tc>
              <w:tc>
                <w:tcPr>
                  <w:tcW w:w="1742" w:type="pct"/>
                  <w:tcBorders>
                    <w:tl2br w:val="nil"/>
                    <w:tr2bl w:val="nil"/>
                  </w:tcBorders>
                  <w:shd w:val="clear" w:color="auto" w:fill="auto"/>
                  <w:vAlign w:val="center"/>
                </w:tcPr>
                <w:p w14:paraId="3D677F7E">
                  <w:pPr>
                    <w:widowControl/>
                    <w:jc w:val="center"/>
                    <w:rPr>
                      <w:color w:val="auto"/>
                      <w:kern w:val="0"/>
                      <w:szCs w:val="21"/>
                    </w:rPr>
                  </w:pPr>
                  <w:r>
                    <w:rPr>
                      <w:rFonts w:hint="eastAsia"/>
                      <w:color w:val="auto"/>
                      <w:kern w:val="0"/>
                      <w:szCs w:val="21"/>
                    </w:rPr>
                    <w:t>功率630kW、电压10kV、转速743r/min</w:t>
                  </w:r>
                </w:p>
              </w:tc>
              <w:tc>
                <w:tcPr>
                  <w:tcW w:w="503" w:type="pct"/>
                  <w:tcBorders>
                    <w:tl2br w:val="nil"/>
                    <w:tr2bl w:val="nil"/>
                  </w:tcBorders>
                  <w:shd w:val="clear" w:color="auto" w:fill="auto"/>
                  <w:vAlign w:val="center"/>
                </w:tcPr>
                <w:p w14:paraId="4692D64C">
                  <w:pPr>
                    <w:widowControl/>
                    <w:jc w:val="center"/>
                    <w:rPr>
                      <w:color w:val="auto"/>
                      <w:kern w:val="0"/>
                      <w:szCs w:val="21"/>
                    </w:rPr>
                  </w:pPr>
                  <w:r>
                    <w:rPr>
                      <w:color w:val="auto"/>
                      <w:kern w:val="0"/>
                      <w:szCs w:val="21"/>
                    </w:rPr>
                    <w:t>台</w:t>
                  </w:r>
                </w:p>
              </w:tc>
              <w:tc>
                <w:tcPr>
                  <w:tcW w:w="628" w:type="pct"/>
                  <w:tcBorders>
                    <w:tl2br w:val="nil"/>
                    <w:tr2bl w:val="nil"/>
                  </w:tcBorders>
                  <w:shd w:val="clear" w:color="auto" w:fill="auto"/>
                  <w:vAlign w:val="center"/>
                </w:tcPr>
                <w:p w14:paraId="0A33ED11">
                  <w:pPr>
                    <w:widowControl/>
                    <w:jc w:val="center"/>
                    <w:rPr>
                      <w:rFonts w:hint="eastAsia"/>
                      <w:color w:val="auto"/>
                      <w:kern w:val="0"/>
                      <w:szCs w:val="21"/>
                      <w:lang w:eastAsia="zh-CN"/>
                    </w:rPr>
                  </w:pPr>
                  <w:r>
                    <w:rPr>
                      <w:rFonts w:hint="eastAsia"/>
                      <w:color w:val="auto"/>
                      <w:kern w:val="0"/>
                      <w:szCs w:val="21"/>
                      <w:lang w:val="en-US" w:eastAsia="zh-CN"/>
                    </w:rPr>
                    <w:t>1</w:t>
                  </w:r>
                </w:p>
              </w:tc>
            </w:tr>
            <w:tr w14:paraId="212408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502FD5EA">
                  <w:pPr>
                    <w:widowControl/>
                    <w:jc w:val="center"/>
                    <w:rPr>
                      <w:rFonts w:hint="eastAsia"/>
                      <w:color w:val="auto"/>
                      <w:kern w:val="0"/>
                      <w:szCs w:val="21"/>
                      <w:lang w:eastAsia="zh-CN"/>
                    </w:rPr>
                  </w:pPr>
                  <w:r>
                    <w:rPr>
                      <w:rFonts w:hint="eastAsia"/>
                      <w:color w:val="auto"/>
                      <w:kern w:val="0"/>
                      <w:szCs w:val="21"/>
                      <w:lang w:val="en-US" w:eastAsia="zh-CN"/>
                    </w:rPr>
                    <w:t>5</w:t>
                  </w:r>
                </w:p>
              </w:tc>
              <w:tc>
                <w:tcPr>
                  <w:tcW w:w="1589" w:type="pct"/>
                  <w:tcBorders>
                    <w:tl2br w:val="nil"/>
                    <w:tr2bl w:val="nil"/>
                  </w:tcBorders>
                  <w:shd w:val="clear" w:color="auto" w:fill="auto"/>
                  <w:vAlign w:val="center"/>
                </w:tcPr>
                <w:p w14:paraId="562E55BD">
                  <w:pPr>
                    <w:widowControl/>
                    <w:jc w:val="center"/>
                    <w:rPr>
                      <w:color w:val="auto"/>
                      <w:kern w:val="0"/>
                      <w:szCs w:val="21"/>
                    </w:rPr>
                  </w:pPr>
                  <w:r>
                    <w:rPr>
                      <w:rFonts w:hint="eastAsia"/>
                      <w:color w:val="auto"/>
                      <w:kern w:val="0"/>
                      <w:szCs w:val="21"/>
                    </w:rPr>
                    <w:t>风冷固定螺杆式压缩机</w:t>
                  </w:r>
                </w:p>
              </w:tc>
              <w:tc>
                <w:tcPr>
                  <w:tcW w:w="1742" w:type="pct"/>
                  <w:tcBorders>
                    <w:tl2br w:val="nil"/>
                    <w:tr2bl w:val="nil"/>
                  </w:tcBorders>
                  <w:shd w:val="clear" w:color="auto" w:fill="auto"/>
                  <w:vAlign w:val="center"/>
                </w:tcPr>
                <w:p w14:paraId="4A9C046F">
                  <w:pPr>
                    <w:widowControl/>
                    <w:jc w:val="center"/>
                    <w:rPr>
                      <w:color w:val="auto"/>
                      <w:kern w:val="0"/>
                      <w:szCs w:val="21"/>
                    </w:rPr>
                  </w:pPr>
                  <w:r>
                    <w:rPr>
                      <w:rFonts w:hint="eastAsia"/>
                      <w:color w:val="auto"/>
                      <w:kern w:val="0"/>
                      <w:szCs w:val="21"/>
                    </w:rPr>
                    <w:t>FHOGD-132F</w:t>
                  </w:r>
                </w:p>
              </w:tc>
              <w:tc>
                <w:tcPr>
                  <w:tcW w:w="503" w:type="pct"/>
                  <w:tcBorders>
                    <w:tl2br w:val="nil"/>
                    <w:tr2bl w:val="nil"/>
                  </w:tcBorders>
                  <w:shd w:val="clear" w:color="auto" w:fill="auto"/>
                  <w:vAlign w:val="center"/>
                </w:tcPr>
                <w:p w14:paraId="5E62E8D2">
                  <w:pPr>
                    <w:widowControl/>
                    <w:jc w:val="center"/>
                    <w:rPr>
                      <w:color w:val="auto"/>
                      <w:kern w:val="0"/>
                      <w:szCs w:val="21"/>
                    </w:rPr>
                  </w:pPr>
                  <w:r>
                    <w:rPr>
                      <w:color w:val="auto"/>
                      <w:kern w:val="0"/>
                      <w:szCs w:val="21"/>
                    </w:rPr>
                    <w:t>台</w:t>
                  </w:r>
                </w:p>
              </w:tc>
              <w:tc>
                <w:tcPr>
                  <w:tcW w:w="628" w:type="pct"/>
                  <w:tcBorders>
                    <w:tl2br w:val="nil"/>
                    <w:tr2bl w:val="nil"/>
                  </w:tcBorders>
                  <w:shd w:val="clear" w:color="auto" w:fill="auto"/>
                  <w:vAlign w:val="center"/>
                </w:tcPr>
                <w:p w14:paraId="138A999B">
                  <w:pPr>
                    <w:widowControl/>
                    <w:jc w:val="center"/>
                    <w:rPr>
                      <w:rFonts w:hint="eastAsia"/>
                      <w:color w:val="auto"/>
                      <w:kern w:val="0"/>
                      <w:szCs w:val="21"/>
                      <w:lang w:eastAsia="zh-CN"/>
                    </w:rPr>
                  </w:pPr>
                  <w:r>
                    <w:rPr>
                      <w:rFonts w:hint="eastAsia"/>
                      <w:color w:val="auto"/>
                      <w:kern w:val="0"/>
                      <w:szCs w:val="21"/>
                      <w:lang w:val="en-US" w:eastAsia="zh-CN"/>
                    </w:rPr>
                    <w:t>4</w:t>
                  </w:r>
                </w:p>
              </w:tc>
            </w:tr>
            <w:tr w14:paraId="593A7E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74" w:hRule="atLeast"/>
              </w:trPr>
              <w:tc>
                <w:tcPr>
                  <w:tcW w:w="536" w:type="pct"/>
                  <w:tcBorders>
                    <w:tl2br w:val="nil"/>
                    <w:tr2bl w:val="nil"/>
                  </w:tcBorders>
                  <w:shd w:val="clear" w:color="auto" w:fill="auto"/>
                  <w:vAlign w:val="center"/>
                </w:tcPr>
                <w:p w14:paraId="04039EA9">
                  <w:pPr>
                    <w:widowControl/>
                    <w:jc w:val="center"/>
                    <w:rPr>
                      <w:rFonts w:hint="eastAsia"/>
                      <w:color w:val="auto"/>
                      <w:kern w:val="0"/>
                      <w:szCs w:val="21"/>
                      <w:lang w:eastAsia="zh-CN"/>
                    </w:rPr>
                  </w:pPr>
                  <w:r>
                    <w:rPr>
                      <w:rFonts w:hint="eastAsia"/>
                      <w:color w:val="auto"/>
                      <w:kern w:val="0"/>
                      <w:szCs w:val="21"/>
                      <w:lang w:val="en-US" w:eastAsia="zh-CN"/>
                    </w:rPr>
                    <w:t>6</w:t>
                  </w:r>
                </w:p>
              </w:tc>
              <w:tc>
                <w:tcPr>
                  <w:tcW w:w="1589" w:type="pct"/>
                  <w:tcBorders>
                    <w:tl2br w:val="nil"/>
                    <w:tr2bl w:val="nil"/>
                  </w:tcBorders>
                  <w:shd w:val="clear" w:color="auto" w:fill="auto"/>
                  <w:vAlign w:val="center"/>
                </w:tcPr>
                <w:p w14:paraId="19EA5C3D">
                  <w:pPr>
                    <w:widowControl/>
                    <w:jc w:val="center"/>
                    <w:rPr>
                      <w:color w:val="auto"/>
                      <w:kern w:val="0"/>
                      <w:szCs w:val="21"/>
                    </w:rPr>
                  </w:pPr>
                  <w:r>
                    <w:rPr>
                      <w:color w:val="auto"/>
                      <w:kern w:val="0"/>
                      <w:szCs w:val="21"/>
                    </w:rPr>
                    <w:t>空气加热设备</w:t>
                  </w:r>
                </w:p>
              </w:tc>
              <w:tc>
                <w:tcPr>
                  <w:tcW w:w="1742" w:type="pct"/>
                  <w:tcBorders>
                    <w:tl2br w:val="nil"/>
                    <w:tr2bl w:val="nil"/>
                  </w:tcBorders>
                  <w:shd w:val="clear" w:color="auto" w:fill="auto"/>
                  <w:vAlign w:val="center"/>
                </w:tcPr>
                <w:p w14:paraId="4EE15565">
                  <w:pPr>
                    <w:widowControl/>
                    <w:jc w:val="center"/>
                    <w:rPr>
                      <w:color w:val="auto"/>
                      <w:kern w:val="0"/>
                      <w:szCs w:val="21"/>
                    </w:rPr>
                  </w:pPr>
                  <w:r>
                    <w:rPr>
                      <w:color w:val="auto"/>
                      <w:kern w:val="0"/>
                      <w:szCs w:val="21"/>
                    </w:rPr>
                    <w:t>KJZ-45S型</w:t>
                  </w:r>
                </w:p>
              </w:tc>
              <w:tc>
                <w:tcPr>
                  <w:tcW w:w="503" w:type="pct"/>
                  <w:tcBorders>
                    <w:tl2br w:val="nil"/>
                    <w:tr2bl w:val="nil"/>
                  </w:tcBorders>
                  <w:shd w:val="clear" w:color="auto" w:fill="auto"/>
                  <w:vAlign w:val="center"/>
                </w:tcPr>
                <w:p w14:paraId="3595D73D">
                  <w:pPr>
                    <w:widowControl/>
                    <w:jc w:val="center"/>
                    <w:rPr>
                      <w:color w:val="auto"/>
                      <w:kern w:val="0"/>
                      <w:szCs w:val="21"/>
                    </w:rPr>
                  </w:pPr>
                  <w:r>
                    <w:rPr>
                      <w:color w:val="auto"/>
                      <w:kern w:val="0"/>
                      <w:szCs w:val="21"/>
                    </w:rPr>
                    <w:t>台</w:t>
                  </w:r>
                </w:p>
              </w:tc>
              <w:tc>
                <w:tcPr>
                  <w:tcW w:w="628" w:type="pct"/>
                  <w:tcBorders>
                    <w:tl2br w:val="nil"/>
                    <w:tr2bl w:val="nil"/>
                  </w:tcBorders>
                  <w:shd w:val="clear" w:color="auto" w:fill="auto"/>
                  <w:vAlign w:val="center"/>
                </w:tcPr>
                <w:p w14:paraId="506F06F1">
                  <w:pPr>
                    <w:widowControl/>
                    <w:jc w:val="center"/>
                    <w:rPr>
                      <w:color w:val="auto"/>
                      <w:kern w:val="0"/>
                      <w:szCs w:val="21"/>
                    </w:rPr>
                  </w:pPr>
                  <w:r>
                    <w:rPr>
                      <w:rFonts w:hint="eastAsia"/>
                      <w:color w:val="auto"/>
                      <w:kern w:val="0"/>
                      <w:szCs w:val="21"/>
                      <w:lang w:val="en-US" w:eastAsia="zh-CN"/>
                    </w:rPr>
                    <w:t>4</w:t>
                  </w:r>
                </w:p>
              </w:tc>
            </w:tr>
          </w:tbl>
          <w:p w14:paraId="0561906D">
            <w:pPr>
              <w:spacing w:line="360" w:lineRule="auto"/>
              <w:ind w:firstLine="480" w:firstLineChars="200"/>
              <w:rPr>
                <w:rFonts w:hint="eastAsia" w:ascii="Times New Roman" w:hAnsi="Times New Roman" w:eastAsia="Times New Roman" w:cs="Times New Roman"/>
                <w:b/>
                <w:bCs/>
                <w:color w:val="auto"/>
                <w:sz w:val="24"/>
                <w:szCs w:val="24"/>
                <w:lang w:val="en-US" w:eastAsia="zh-CN"/>
              </w:rPr>
            </w:pPr>
            <w:r>
              <w:rPr>
                <w:rFonts w:hint="eastAsia" w:eastAsia="Times New Roman" w:cs="Times New Roman"/>
                <w:b/>
                <w:bCs/>
                <w:color w:val="auto"/>
                <w:sz w:val="24"/>
                <w:szCs w:val="24"/>
                <w:lang w:val="en-US" w:eastAsia="zh-CN"/>
              </w:rPr>
              <w:t>6</w:t>
            </w:r>
            <w:r>
              <w:rPr>
                <w:rFonts w:hint="eastAsia" w:ascii="Times New Roman" w:hAnsi="Times New Roman" w:eastAsia="Times New Roman" w:cs="Times New Roman"/>
                <w:b/>
                <w:bCs/>
                <w:color w:val="auto"/>
                <w:sz w:val="24"/>
                <w:szCs w:val="24"/>
                <w:lang w:val="en-US" w:eastAsia="zh-CN"/>
              </w:rPr>
              <w:t>、公用工程</w:t>
            </w:r>
          </w:p>
          <w:p w14:paraId="2E930177">
            <w:pPr>
              <w:spacing w:line="360" w:lineRule="auto"/>
              <w:ind w:firstLine="480" w:firstLineChars="200"/>
              <w:rPr>
                <w:rFonts w:hint="eastAsia" w:ascii="Times New Roman" w:hAnsi="Times New Roman" w:eastAsia="Times New Roman" w:cs="Times New Roman"/>
                <w:b/>
                <w:bCs/>
                <w:color w:val="auto"/>
                <w:sz w:val="24"/>
                <w:szCs w:val="24"/>
                <w:lang w:val="en-US" w:eastAsia="zh-CN"/>
              </w:rPr>
            </w:pPr>
            <w:r>
              <w:rPr>
                <w:rFonts w:hint="eastAsia" w:eastAsia="Times New Roman" w:cs="Times New Roman"/>
                <w:b/>
                <w:bCs/>
                <w:color w:val="auto"/>
                <w:sz w:val="24"/>
                <w:szCs w:val="24"/>
                <w:lang w:val="en-US" w:eastAsia="zh-CN"/>
              </w:rPr>
              <w:t>6</w:t>
            </w:r>
            <w:r>
              <w:rPr>
                <w:rFonts w:hint="eastAsia" w:ascii="Times New Roman" w:hAnsi="Times New Roman" w:eastAsia="Times New Roman" w:cs="Times New Roman"/>
                <w:b/>
                <w:bCs/>
                <w:color w:val="auto"/>
                <w:sz w:val="24"/>
                <w:szCs w:val="24"/>
                <w:lang w:val="en-US" w:eastAsia="zh-CN"/>
              </w:rPr>
              <w:t>.1给水</w:t>
            </w:r>
          </w:p>
          <w:p w14:paraId="34ADB905">
            <w:pPr>
              <w:spacing w:line="360" w:lineRule="auto"/>
              <w:ind w:firstLine="480" w:firstLineChars="200"/>
              <w:rPr>
                <w:rFonts w:hint="eastAsia"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本次新增劳动定员75人，根据《内蒙古自治区行业用水定额》（DB15/T 385—2020），生活用水按每人每天60L计，生活用水量为4.5m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/d</w:t>
            </w:r>
            <w:r>
              <w:rPr>
                <w:rFonts w:hint="eastAsia" w:eastAsia="宋体" w:cs="Times New Roman"/>
                <w:b w:val="0"/>
                <w:bCs w:val="0"/>
                <w:color w:val="auto"/>
                <w:sz w:val="24"/>
                <w:szCs w:val="24"/>
                <w:lang w:val="en-US" w:eastAsia="zh-CN"/>
              </w:rPr>
              <w:t>，</w:t>
            </w:r>
            <w:r>
              <w:rPr>
                <w:rFonts w:hint="eastAsia" w:eastAsia="Times New Roman" w:cs="Times New Roman"/>
                <w:b w:val="0"/>
                <w:bCs w:val="0"/>
                <w:color w:val="auto"/>
                <w:sz w:val="24"/>
                <w:szCs w:val="24"/>
                <w:lang w:val="en-US" w:eastAsia="zh-CN"/>
              </w:rPr>
              <w:t>1642.5m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/a。生活用水依托场内现有</w:t>
            </w:r>
            <w:r>
              <w:rPr>
                <w:rFonts w:hint="eastAsia" w:eastAsia="Times New Roman" w:cs="Times New Roman"/>
                <w:b w:val="0"/>
                <w:bCs w:val="0"/>
                <w:color w:val="auto"/>
                <w:sz w:val="24"/>
                <w:szCs w:val="24"/>
                <w:lang w:val="zh-CN" w:eastAsia="zh-CN"/>
              </w:rPr>
              <w:t>地下水供水系统提供</w:t>
            </w:r>
            <w:r>
              <w:rPr>
                <w:rFonts w:hint="eastAsia" w:eastAsia="Times New Roman" w:cs="Times New Roman"/>
                <w:b w:val="0"/>
                <w:bCs w:val="0"/>
                <w:color w:val="auto"/>
                <w:sz w:val="24"/>
                <w:szCs w:val="24"/>
                <w:lang w:val="en-US" w:eastAsia="zh-CN"/>
              </w:rPr>
              <w:t>。</w:t>
            </w:r>
          </w:p>
          <w:p w14:paraId="36D48202">
            <w:pPr>
              <w:spacing w:line="360" w:lineRule="auto"/>
              <w:ind w:firstLine="480" w:firstLineChars="200"/>
              <w:rPr>
                <w:rFonts w:hint="eastAsia" w:ascii="Times New Roman" w:hAnsi="Times New Roman" w:eastAsia="Times New Roman" w:cs="Times New Roman"/>
                <w:b/>
                <w:bCs/>
                <w:color w:val="auto"/>
                <w:sz w:val="24"/>
                <w:szCs w:val="24"/>
                <w:lang w:val="en-US" w:eastAsia="zh-CN"/>
              </w:rPr>
            </w:pPr>
            <w:r>
              <w:rPr>
                <w:rFonts w:hint="eastAsia" w:eastAsia="Times New Roman" w:cs="Times New Roman"/>
                <w:b/>
                <w:bCs/>
                <w:color w:val="auto"/>
                <w:sz w:val="24"/>
                <w:szCs w:val="24"/>
                <w:lang w:val="en-US" w:eastAsia="zh-CN"/>
              </w:rPr>
              <w:t>6</w:t>
            </w:r>
            <w:r>
              <w:rPr>
                <w:rFonts w:hint="eastAsia" w:ascii="Times New Roman" w:hAnsi="Times New Roman" w:eastAsia="Times New Roman" w:cs="Times New Roman"/>
                <w:b/>
                <w:bCs/>
                <w:color w:val="auto"/>
                <w:sz w:val="24"/>
                <w:szCs w:val="24"/>
                <w:lang w:val="en-US" w:eastAsia="zh-CN"/>
              </w:rPr>
              <w:t>.2排水</w:t>
            </w:r>
          </w:p>
          <w:p w14:paraId="46574F29">
            <w:pPr>
              <w:spacing w:line="360" w:lineRule="auto"/>
              <w:ind w:firstLine="480" w:firstLineChars="200"/>
              <w:rPr>
                <w:rFonts w:hint="eastAsia" w:eastAsia="Times New Roman" w:cs="Times New Roman"/>
                <w:b w:val="0"/>
                <w:bCs w:val="0"/>
                <w:color w:val="auto"/>
                <w:sz w:val="24"/>
                <w:szCs w:val="24"/>
                <w:lang w:val="en-US" w:eastAsia="zh-CN"/>
              </w:rPr>
            </w:pPr>
            <w:r>
              <w:rPr>
                <w:rFonts w:hint="eastAsia" w:ascii="Times New Roman" w:hAnsi="Times New Roman" w:eastAsia="Times New Roman" w:cs="Times New Roman"/>
                <w:b w:val="0"/>
                <w:bCs w:val="0"/>
                <w:color w:val="auto"/>
                <w:sz w:val="24"/>
                <w:szCs w:val="24"/>
                <w:lang w:val="en-US" w:eastAsia="zh-CN"/>
              </w:rPr>
              <w:t>生活污水产生量按用水量的80%计算，则生活污水产生量为</w:t>
            </w:r>
            <w:r>
              <w:rPr>
                <w:rFonts w:hint="eastAsia" w:eastAsia="Times New Roman" w:cs="Times New Roman"/>
                <w:b w:val="0"/>
                <w:bCs w:val="0"/>
                <w:color w:val="auto"/>
                <w:sz w:val="24"/>
                <w:szCs w:val="24"/>
                <w:lang w:val="en-US" w:eastAsia="zh-CN"/>
              </w:rPr>
              <w:t>3.6</w:t>
            </w:r>
            <w:r>
              <w:rPr>
                <w:rFonts w:hint="eastAsia" w:ascii="Times New Roman" w:hAnsi="Times New Roman" w:eastAsia="Times New Roman" w:cs="Times New Roman"/>
                <w:b w:val="0"/>
                <w:bCs w:val="0"/>
                <w:color w:val="auto"/>
                <w:sz w:val="24"/>
                <w:szCs w:val="24"/>
                <w:lang w:val="en-US" w:eastAsia="zh-CN"/>
              </w:rPr>
              <w:t>m</w:t>
            </w:r>
            <w:r>
              <w:rPr>
                <w:rFonts w:hint="eastAsia" w:ascii="Times New Roman" w:hAnsi="Times New Roman" w:eastAsia="Times New Roman" w:cs="Times New Roman"/>
                <w:b w:val="0"/>
                <w:bCs w:val="0"/>
                <w:color w:val="auto"/>
                <w:sz w:val="24"/>
                <w:szCs w:val="24"/>
                <w:vertAlign w:val="superscript"/>
                <w:lang w:val="en-US" w:eastAsia="zh-CN"/>
              </w:rPr>
              <w:t>3</w:t>
            </w:r>
            <w:r>
              <w:rPr>
                <w:rFonts w:hint="eastAsia" w:ascii="Times New Roman" w:hAnsi="Times New Roman" w:eastAsia="Times New Roman" w:cs="Times New Roman"/>
                <w:b w:val="0"/>
                <w:bCs w:val="0"/>
                <w:color w:val="auto"/>
                <w:sz w:val="24"/>
                <w:szCs w:val="24"/>
                <w:lang w:val="en-US" w:eastAsia="zh-CN"/>
              </w:rPr>
              <w:t>/d，</w:t>
            </w:r>
            <w:r>
              <w:rPr>
                <w:rFonts w:hint="eastAsia" w:eastAsia="Times New Roman" w:cs="Times New Roman"/>
                <w:b w:val="0"/>
                <w:bCs w:val="0"/>
                <w:color w:val="auto"/>
                <w:sz w:val="24"/>
                <w:szCs w:val="24"/>
                <w:lang w:val="en-US" w:eastAsia="zh-CN"/>
              </w:rPr>
              <w:t>1314m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/a。</w:t>
            </w:r>
            <w:r>
              <w:rPr>
                <w:rFonts w:hint="eastAsia" w:ascii="Times New Roman" w:hAnsi="Times New Roman" w:eastAsia="Times New Roman" w:cs="Times New Roman"/>
                <w:b w:val="0"/>
                <w:bCs w:val="0"/>
                <w:color w:val="auto"/>
                <w:sz w:val="24"/>
                <w:szCs w:val="24"/>
                <w:lang w:val="en-US" w:eastAsia="zh-CN"/>
              </w:rPr>
              <w:t>生活污水依托现有一体</w:t>
            </w:r>
            <w:r>
              <w:rPr>
                <w:rFonts w:hint="eastAsia" w:eastAsia="Times New Roman" w:cs="Times New Roman"/>
                <w:b w:val="0"/>
                <w:bCs w:val="0"/>
                <w:color w:val="auto"/>
                <w:sz w:val="24"/>
                <w:szCs w:val="24"/>
                <w:lang w:val="en-US" w:eastAsia="zh-CN"/>
              </w:rPr>
              <w:t>化处理设备进行二级处理，回用于鄂温克电厂用水。</w:t>
            </w:r>
          </w:p>
          <w:p w14:paraId="463B8F08">
            <w:pPr>
              <w:pStyle w:val="34"/>
              <w:spacing w:line="360" w:lineRule="auto"/>
              <w:rPr>
                <w:color w:val="auto"/>
              </w:rPr>
            </w:pPr>
            <w:r>
              <w:rPr>
                <w:color w:val="auto"/>
              </w:rPr>
              <w:object>
                <v:shape id="_x0000_i1025" o:spt="75" type="#_x0000_t75" style="height:58.15pt;width:304.4pt;" o:ole="t" filled="f" o:preferrelative="t" stroked="f" coordsize="21600,21600">
                  <v:path/>
                  <v:fill on="f" focussize="0,0"/>
                  <v:stroke on="f"/>
                  <v:imagedata r:id="rId14" o:title=""/>
                  <o:lock v:ext="edit" aspectratio="f"/>
                  <w10:wrap type="none"/>
                  <w10:anchorlock/>
                </v:shape>
                <o:OLEObject Type="Embed" ProgID="Visio.Drawing.11" ShapeID="_x0000_i1025" DrawAspect="Content" ObjectID="_1468075725" r:id="rId13">
                  <o:LockedField>false</o:LockedField>
                </o:OLEObject>
              </w:object>
            </w:r>
          </w:p>
          <w:p w14:paraId="6EFDEA0B">
            <w:pPr>
              <w:pStyle w:val="7"/>
              <w:spacing w:after="0" w:line="360" w:lineRule="auto"/>
              <w:jc w:val="center"/>
              <w:rPr>
                <w:rFonts w:hint="eastAsia"/>
                <w:b/>
                <w:bCs/>
                <w:color w:val="auto"/>
                <w:szCs w:val="21"/>
                <w:lang w:val="en-US" w:eastAsia="zh-CN"/>
              </w:rPr>
            </w:pPr>
            <w:r>
              <w:rPr>
                <w:rFonts w:hint="eastAsia"/>
                <w:b/>
                <w:bCs/>
                <w:color w:val="auto"/>
                <w:szCs w:val="21"/>
                <w:lang w:val="en-US" w:eastAsia="zh-CN"/>
              </w:rPr>
              <w:t>图2-2    本项目运营期水平衡图</w:t>
            </w:r>
          </w:p>
          <w:p w14:paraId="4A1768EB">
            <w:pPr>
              <w:spacing w:line="360" w:lineRule="auto"/>
              <w:ind w:firstLine="480"/>
              <w:rPr>
                <w:rFonts w:hint="eastAsia" w:ascii="Times New Roman" w:hAnsi="Times New Roman" w:eastAsia="Times New Roman" w:cs="Times New Roman"/>
                <w:b/>
                <w:bCs/>
                <w:color w:val="auto"/>
                <w:sz w:val="24"/>
              </w:rPr>
            </w:pPr>
            <w:r>
              <w:rPr>
                <w:rFonts w:hint="eastAsia" w:cs="Times New Roman"/>
                <w:b/>
                <w:bCs/>
                <w:color w:val="auto"/>
                <w:sz w:val="24"/>
                <w:lang w:val="en-US" w:eastAsia="zh-CN"/>
              </w:rPr>
              <w:t>6</w:t>
            </w:r>
            <w:r>
              <w:rPr>
                <w:rFonts w:hint="eastAsia" w:ascii="Times New Roman" w:hAnsi="Times New Roman" w:eastAsia="宋体" w:cs="Times New Roman"/>
                <w:b/>
                <w:bCs/>
                <w:color w:val="auto"/>
                <w:sz w:val="24"/>
                <w:lang w:val="en-US" w:eastAsia="zh-CN"/>
              </w:rPr>
              <w:t>.3</w:t>
            </w:r>
            <w:r>
              <w:rPr>
                <w:rFonts w:hint="eastAsia" w:ascii="Times New Roman" w:hAnsi="Times New Roman" w:eastAsia="Times New Roman" w:cs="Times New Roman"/>
                <w:b/>
                <w:bCs/>
                <w:color w:val="auto"/>
                <w:sz w:val="24"/>
              </w:rPr>
              <w:t>供电系统</w:t>
            </w:r>
          </w:p>
          <w:p w14:paraId="23BF01B6">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依托现有供电设施。</w:t>
            </w:r>
          </w:p>
          <w:p w14:paraId="42A07558">
            <w:pPr>
              <w:spacing w:line="360" w:lineRule="auto"/>
              <w:ind w:firstLine="480"/>
              <w:rPr>
                <w:rFonts w:hint="eastAsia" w:ascii="Times New Roman" w:hAnsi="Times New Roman" w:eastAsia="Times New Roman" w:cs="Times New Roman"/>
                <w:b/>
                <w:bCs/>
                <w:color w:val="auto"/>
                <w:sz w:val="24"/>
              </w:rPr>
            </w:pPr>
            <w:r>
              <w:rPr>
                <w:rFonts w:hint="eastAsia" w:cs="Times New Roman"/>
                <w:b/>
                <w:bCs/>
                <w:color w:val="auto"/>
                <w:sz w:val="24"/>
                <w:lang w:val="en-US" w:eastAsia="zh-CN"/>
              </w:rPr>
              <w:t>6</w:t>
            </w:r>
            <w:r>
              <w:rPr>
                <w:rFonts w:hint="eastAsia" w:ascii="Times New Roman" w:hAnsi="Times New Roman" w:eastAsia="宋体" w:cs="Times New Roman"/>
                <w:b/>
                <w:bCs/>
                <w:color w:val="auto"/>
                <w:sz w:val="24"/>
                <w:lang w:val="en-US" w:eastAsia="zh-CN"/>
              </w:rPr>
              <w:t>.4</w:t>
            </w:r>
            <w:r>
              <w:rPr>
                <w:rFonts w:hint="eastAsia" w:ascii="Times New Roman" w:hAnsi="Times New Roman" w:eastAsia="Times New Roman" w:cs="Times New Roman"/>
                <w:b/>
                <w:bCs/>
                <w:color w:val="auto"/>
                <w:sz w:val="24"/>
              </w:rPr>
              <w:t>供暖系统</w:t>
            </w:r>
          </w:p>
          <w:p w14:paraId="40AEF07B">
            <w:pPr>
              <w:spacing w:line="360" w:lineRule="auto"/>
              <w:ind w:firstLine="480"/>
              <w:rPr>
                <w:rFonts w:hint="eastAsia"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井筒防冻</w:t>
            </w:r>
            <w:r>
              <w:rPr>
                <w:rFonts w:hint="eastAsia" w:ascii="Times New Roman" w:hAnsi="Times New Roman" w:eastAsia="宋体" w:cs="Times New Roman"/>
                <w:color w:val="auto"/>
                <w:sz w:val="24"/>
                <w:lang w:val="en-US" w:eastAsia="zh-CN"/>
              </w:rPr>
              <w:t>依托矿井工业场地内换热站，</w:t>
            </w:r>
            <w:r>
              <w:rPr>
                <w:rFonts w:hint="eastAsia" w:ascii="Times New Roman" w:hAnsi="Times New Roman" w:eastAsia="宋体" w:cs="Times New Roman"/>
                <w:color w:val="auto"/>
                <w:sz w:val="24"/>
                <w:lang w:val="en-GB" w:eastAsia="zh-CN"/>
              </w:rPr>
              <w:t>热媒为110/70℃高温热水</w:t>
            </w:r>
            <w:r>
              <w:rPr>
                <w:rFonts w:hint="eastAsia" w:ascii="Times New Roman" w:hAnsi="Times New Roman" w:eastAsia="宋体" w:cs="Times New Roman"/>
                <w:color w:val="auto"/>
                <w:sz w:val="24"/>
                <w:lang w:val="en-US" w:eastAsia="zh-CN"/>
              </w:rPr>
              <w:t>。</w:t>
            </w:r>
          </w:p>
          <w:p w14:paraId="351EC7F8">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GB" w:eastAsia="zh-CN"/>
              </w:rPr>
              <w:t>现有矿井工业场地换热站内井筒防冻及工业建筑采暖换热机组换热能力为21MW，一次热媒为130/80℃高温水，经换热机组换热后，二次热媒为110/70℃高温热水。现有矿井工业建筑采暖及井筒防冻热负荷合计16.5MW，本工程副斜井场地内新增工业建筑热负荷为4.2MW，合计20.7 MW，故现有矿井工业场地换热站内井筒防冻及工业建筑采暖换热机组供热能力可以满足本次副斜井场地内新增工业建筑供暖需求。</w:t>
            </w:r>
          </w:p>
          <w:p w14:paraId="3BE6640E">
            <w:pPr>
              <w:numPr>
                <w:ilvl w:val="0"/>
                <w:numId w:val="0"/>
              </w:numPr>
              <w:spacing w:line="360" w:lineRule="auto"/>
              <w:ind w:firstLine="482" w:firstLineChars="200"/>
              <w:rPr>
                <w:rFonts w:hint="eastAsia" w:ascii="Times New Roman" w:hAnsi="Times New Roman" w:eastAsia="宋体" w:cs="Times New Roman"/>
                <w:b/>
                <w:bCs/>
                <w:color w:val="auto"/>
                <w:sz w:val="24"/>
                <w:lang w:val="en-US" w:eastAsia="zh-CN"/>
              </w:rPr>
            </w:pPr>
            <w:r>
              <w:rPr>
                <w:rFonts w:hint="eastAsia" w:cs="Times New Roman"/>
                <w:b/>
                <w:bCs/>
                <w:color w:val="auto"/>
                <w:sz w:val="24"/>
                <w:lang w:val="en-US" w:eastAsia="zh-CN"/>
              </w:rPr>
              <w:t>7</w:t>
            </w:r>
            <w:r>
              <w:rPr>
                <w:rFonts w:hint="eastAsia" w:ascii="Times New Roman" w:hAnsi="Times New Roman" w:eastAsia="宋体" w:cs="Times New Roman"/>
                <w:b/>
                <w:bCs/>
                <w:color w:val="auto"/>
                <w:sz w:val="24"/>
                <w:lang w:val="en-US" w:eastAsia="zh-CN"/>
              </w:rPr>
              <w:t>、劳动定员及工作制度</w:t>
            </w:r>
          </w:p>
          <w:p w14:paraId="22FC9998">
            <w:pPr>
              <w:spacing w:line="360" w:lineRule="auto"/>
              <w:ind w:firstLine="480"/>
              <w:rPr>
                <w:color w:val="auto"/>
              </w:rPr>
            </w:pPr>
            <w:r>
              <w:rPr>
                <w:rFonts w:hint="eastAsia" w:ascii="Times New Roman" w:hAnsi="Times New Roman" w:eastAsia="Times New Roman" w:cs="Times New Roman"/>
                <w:color w:val="auto"/>
                <w:sz w:val="24"/>
              </w:rPr>
              <w:t>本项目</w:t>
            </w:r>
            <w:r>
              <w:rPr>
                <w:rFonts w:hint="eastAsia" w:eastAsia="宋体" w:cs="Times New Roman"/>
                <w:color w:val="auto"/>
                <w:sz w:val="24"/>
                <w:lang w:eastAsia="zh-CN"/>
              </w:rPr>
              <w:t>新增</w:t>
            </w:r>
            <w:r>
              <w:rPr>
                <w:rFonts w:hint="eastAsia" w:ascii="Times New Roman" w:hAnsi="Times New Roman" w:eastAsia="Times New Roman" w:cs="Times New Roman"/>
                <w:color w:val="auto"/>
                <w:sz w:val="24"/>
              </w:rPr>
              <w:t>劳动定员</w:t>
            </w:r>
            <w:r>
              <w:rPr>
                <w:rFonts w:hint="eastAsia" w:cs="Times New Roman"/>
                <w:color w:val="auto"/>
                <w:sz w:val="24"/>
                <w:lang w:val="en-US" w:eastAsia="zh-CN"/>
              </w:rPr>
              <w:t>75</w:t>
            </w:r>
            <w:r>
              <w:rPr>
                <w:rFonts w:hint="eastAsia" w:ascii="Times New Roman" w:hAnsi="Times New Roman" w:eastAsia="Times New Roman" w:cs="Times New Roman"/>
                <w:color w:val="auto"/>
                <w:sz w:val="24"/>
              </w:rPr>
              <w:t>人，</w:t>
            </w:r>
            <w:r>
              <w:rPr>
                <w:rFonts w:hint="eastAsia" w:eastAsia="宋体" w:cs="Times New Roman"/>
                <w:color w:val="auto"/>
                <w:sz w:val="24"/>
                <w:lang w:eastAsia="zh-CN"/>
              </w:rPr>
              <w:t>年工作</w:t>
            </w:r>
            <w:r>
              <w:rPr>
                <w:rFonts w:hint="eastAsia" w:eastAsia="宋体" w:cs="Times New Roman"/>
                <w:color w:val="auto"/>
                <w:sz w:val="24"/>
                <w:lang w:val="en-US" w:eastAsia="zh-CN"/>
              </w:rPr>
              <w:t>365</w:t>
            </w:r>
            <w:r>
              <w:rPr>
                <w:rFonts w:hint="eastAsia" w:ascii="Times New Roman" w:hAnsi="Times New Roman" w:eastAsia="Times New Roman" w:cs="Times New Roman"/>
                <w:color w:val="auto"/>
                <w:sz w:val="24"/>
              </w:rPr>
              <w:t>天，每日三班作业，每班工作8h。</w:t>
            </w:r>
          </w:p>
        </w:tc>
      </w:tr>
      <w:tr w14:paraId="1F646B4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469" w:hRule="atLeast"/>
          <w:jc w:val="center"/>
        </w:trPr>
        <w:tc>
          <w:tcPr>
            <w:tcW w:w="456" w:type="dxa"/>
            <w:vAlign w:val="center"/>
          </w:tcPr>
          <w:p w14:paraId="708D8E36">
            <w:pPr>
              <w:spacing w:line="360" w:lineRule="auto"/>
              <w:jc w:val="center"/>
              <w:rPr>
                <w:rFonts w:eastAsia="Times New Roman"/>
                <w:color w:val="auto"/>
                <w:sz w:val="24"/>
              </w:rPr>
            </w:pPr>
            <w:r>
              <w:rPr>
                <w:rFonts w:eastAsia="Times New Roman"/>
                <w:color w:val="auto"/>
                <w:sz w:val="24"/>
              </w:rPr>
              <w:t>总平面及现场布置</w:t>
            </w:r>
          </w:p>
        </w:tc>
        <w:tc>
          <w:tcPr>
            <w:tcW w:w="8534" w:type="dxa"/>
            <w:vAlign w:val="top"/>
          </w:tcPr>
          <w:p w14:paraId="49D0742C">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GB" w:eastAsia="zh-CN"/>
              </w:rPr>
              <w:t>本次地面新建缓坡副斜井井口、空气加热室、缓坡副斜井井口房、无轨胶轮车库及保养间。新建缓坡副斜井井口位于矿井工业场地东南部、现有翻矸棚的东南侧，紧邻工业场地东围墙。该块场地基本为正方形，东西长约185m，南北宽约185m，四周建有栅栏围墙，北部为矸石翻矸棚和排矸窄轨铁路，西侧为矸石山，东侧为空地。除东南角地势较为低洼，高程为+706.09m~+708.29m，场地其他大部地形较为平坦，高程为+709m~+710.82m。该井筒功能主要是人员、材料、设备上下井，井口中心：X=5403767.414，Y=40496000.000，Z=+710.000。靠近新建的缓坡副斜井井口北侧布置缓坡副斜井井口房、空气加热室和值班配电室，西侧东西向布置无轨胶轮车库及保养间，以及无轨胶轮车加油场地</w:t>
            </w:r>
            <w:r>
              <w:rPr>
                <w:rFonts w:hint="eastAsia" w:ascii="Times New Roman" w:hAnsi="Times New Roman" w:eastAsia="宋体" w:cs="Times New Roman"/>
                <w:color w:val="auto"/>
                <w:sz w:val="24"/>
                <w:lang w:val="en-US" w:eastAsia="zh-CN"/>
              </w:rPr>
              <w:t>。</w:t>
            </w:r>
          </w:p>
          <w:p w14:paraId="763BF740">
            <w:pPr>
              <w:spacing w:line="360" w:lineRule="auto"/>
              <w:ind w:firstLine="480"/>
              <w:rPr>
                <w:rFonts w:hint="eastAsia" w:ascii="Times New Roman" w:hAnsi="Times New Roman" w:eastAsia="宋体" w:cs="Times New Roman"/>
                <w:color w:val="auto"/>
                <w:sz w:val="24"/>
                <w:lang w:val="en-US" w:eastAsia="zh-CN"/>
              </w:rPr>
            </w:pPr>
            <w:r>
              <w:rPr>
                <w:rFonts w:hint="eastAsia" w:cs="Times New Roman"/>
                <w:color w:val="auto"/>
                <w:sz w:val="24"/>
                <w:lang w:val="en-US" w:eastAsia="zh-CN"/>
              </w:rPr>
              <w:t>本项目不设置施工营地，施工器材就近堆放于井口旁，原辅料堆存于矿区的库房内，施工期道路依托矿区现有道路。</w:t>
            </w:r>
          </w:p>
          <w:p w14:paraId="2D81A1CD">
            <w:pPr>
              <w:spacing w:line="360" w:lineRule="auto"/>
              <w:ind w:firstLine="480"/>
              <w:rPr>
                <w:rFonts w:eastAsia="Times New Roman"/>
                <w:color w:val="auto"/>
                <w:sz w:val="24"/>
              </w:rPr>
            </w:pPr>
            <w:r>
              <w:rPr>
                <w:rFonts w:hint="eastAsia" w:ascii="Times New Roman" w:hAnsi="Times New Roman" w:eastAsia="宋体" w:cs="Times New Roman"/>
                <w:color w:val="auto"/>
                <w:sz w:val="24"/>
                <w:lang w:val="en-US" w:eastAsia="zh-CN"/>
              </w:rPr>
              <w:t>项目平面布置图见附图</w:t>
            </w:r>
            <w:r>
              <w:rPr>
                <w:rFonts w:hint="default" w:ascii="Times New Roman" w:hAnsi="Times New Roman" w:eastAsia="宋体" w:cs="Times New Roman"/>
                <w:color w:val="auto"/>
                <w:sz w:val="24"/>
                <w:lang w:val="en-US" w:eastAsia="zh-CN"/>
              </w:rPr>
              <w:t>2</w:t>
            </w:r>
            <w:r>
              <w:rPr>
                <w:rFonts w:hint="eastAsia" w:ascii="Times New Roman" w:hAnsi="Times New Roman" w:eastAsia="宋体" w:cs="Times New Roman"/>
                <w:color w:val="auto"/>
                <w:sz w:val="24"/>
                <w:lang w:val="en-US" w:eastAsia="zh-CN"/>
              </w:rPr>
              <w:t>。</w:t>
            </w:r>
          </w:p>
        </w:tc>
      </w:tr>
      <w:tr w14:paraId="7AD723E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456" w:type="dxa"/>
            <w:vAlign w:val="center"/>
          </w:tcPr>
          <w:p w14:paraId="6411DD06">
            <w:pPr>
              <w:spacing w:line="360" w:lineRule="auto"/>
              <w:jc w:val="center"/>
              <w:rPr>
                <w:rFonts w:eastAsia="Times New Roman"/>
                <w:color w:val="auto"/>
                <w:sz w:val="24"/>
              </w:rPr>
            </w:pPr>
            <w:r>
              <w:rPr>
                <w:rFonts w:eastAsia="Times New Roman"/>
                <w:color w:val="auto"/>
                <w:sz w:val="24"/>
              </w:rPr>
              <w:t>施工</w:t>
            </w:r>
          </w:p>
          <w:p w14:paraId="0250E235">
            <w:pPr>
              <w:spacing w:line="360" w:lineRule="auto"/>
              <w:jc w:val="center"/>
              <w:rPr>
                <w:rFonts w:eastAsia="Times New Roman"/>
                <w:color w:val="auto"/>
                <w:sz w:val="24"/>
              </w:rPr>
            </w:pPr>
            <w:r>
              <w:rPr>
                <w:rFonts w:eastAsia="Times New Roman"/>
                <w:color w:val="auto"/>
                <w:sz w:val="24"/>
              </w:rPr>
              <w:t>方案</w:t>
            </w:r>
          </w:p>
        </w:tc>
        <w:tc>
          <w:tcPr>
            <w:tcW w:w="8534" w:type="dxa"/>
            <w:vAlign w:val="center"/>
          </w:tcPr>
          <w:p w14:paraId="3B4905E6">
            <w:pPr>
              <w:spacing w:line="360" w:lineRule="auto"/>
              <w:ind w:firstLine="482" w:firstLineChars="200"/>
              <w:rPr>
                <w:rFonts w:hint="eastAsia" w:ascii="Times New Roman" w:hAnsi="Times New Roman" w:eastAsia="宋体" w:cs="Times New Roman"/>
                <w:b/>
                <w:bCs/>
                <w:color w:val="auto"/>
                <w:sz w:val="24"/>
                <w:lang w:eastAsia="zh-CN"/>
              </w:rPr>
            </w:pPr>
            <w:r>
              <w:rPr>
                <w:rFonts w:ascii="Times New Roman" w:hAnsi="Times New Roman" w:eastAsia="宋体" w:cs="Times New Roman"/>
                <w:b/>
                <w:bCs/>
                <w:color w:val="auto"/>
                <w:sz w:val="24"/>
              </w:rPr>
              <w:t>1</w:t>
            </w:r>
            <w:r>
              <w:rPr>
                <w:rFonts w:hint="eastAsia" w:ascii="Times New Roman" w:hAnsi="Times New Roman" w:eastAsia="宋体" w:cs="Times New Roman"/>
                <w:b/>
                <w:bCs/>
                <w:color w:val="auto"/>
                <w:sz w:val="24"/>
                <w:lang w:eastAsia="zh-CN"/>
              </w:rPr>
              <w:t>、</w:t>
            </w:r>
            <w:r>
              <w:rPr>
                <w:rFonts w:ascii="Times New Roman" w:hAnsi="Times New Roman" w:eastAsia="宋体" w:cs="Times New Roman"/>
                <w:b/>
                <w:bCs/>
                <w:color w:val="auto"/>
                <w:sz w:val="24"/>
              </w:rPr>
              <w:t>施工</w:t>
            </w:r>
            <w:r>
              <w:rPr>
                <w:rFonts w:hint="eastAsia" w:cs="Times New Roman"/>
                <w:b/>
                <w:bCs/>
                <w:color w:val="auto"/>
                <w:sz w:val="24"/>
                <w:lang w:eastAsia="zh-CN"/>
              </w:rPr>
              <w:t>周期</w:t>
            </w:r>
          </w:p>
          <w:p w14:paraId="659EC0DC">
            <w:pPr>
              <w:spacing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根据井巷工程综合进度安排，矿井建井工期为16个月。</w:t>
            </w:r>
          </w:p>
          <w:p w14:paraId="0A895AEA">
            <w:pPr>
              <w:spacing w:line="360" w:lineRule="auto"/>
              <w:ind w:firstLine="482" w:firstLineChars="200"/>
              <w:rPr>
                <w:rFonts w:ascii="Times New Roman" w:hAnsi="Times New Roman" w:eastAsia="宋体" w:cs="Times New Roman"/>
                <w:b/>
                <w:bCs/>
                <w:color w:val="auto"/>
                <w:sz w:val="24"/>
              </w:rPr>
            </w:pPr>
            <w:r>
              <w:rPr>
                <w:rFonts w:ascii="Times New Roman" w:hAnsi="Times New Roman" w:eastAsia="宋体" w:cs="Times New Roman"/>
                <w:b/>
                <w:bCs/>
                <w:color w:val="auto"/>
                <w:sz w:val="24"/>
              </w:rPr>
              <w:t>2</w:t>
            </w:r>
            <w:r>
              <w:rPr>
                <w:rFonts w:hint="eastAsia" w:ascii="Times New Roman" w:hAnsi="Times New Roman" w:eastAsia="宋体" w:cs="Times New Roman"/>
                <w:b/>
                <w:bCs/>
                <w:color w:val="auto"/>
                <w:sz w:val="24"/>
                <w:lang w:eastAsia="zh-CN"/>
              </w:rPr>
              <w:t>、</w:t>
            </w:r>
            <w:r>
              <w:rPr>
                <w:rFonts w:ascii="Times New Roman" w:hAnsi="Times New Roman" w:eastAsia="宋体" w:cs="Times New Roman"/>
                <w:b/>
                <w:bCs/>
                <w:color w:val="auto"/>
                <w:sz w:val="24"/>
              </w:rPr>
              <w:t>施工工艺</w:t>
            </w:r>
          </w:p>
          <w:p w14:paraId="3E6D539C">
            <w:pPr>
              <w:spacing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敏东一矿位于鄂温克旗，矿井周边均为草原，针对于敏东一矿泥质胶结的特殊地质条件，Ⅱ含水压达到1.1Mpa，适宜选用泥水平衡盾构施工法。</w:t>
            </w:r>
          </w:p>
          <w:p w14:paraId="28B11526">
            <w:pPr>
              <w:spacing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盾构始发需设置盾构井，盾构井外皮尺寸为长×宽×高=20×10.5×12，盾构井基坑深度约为16.65m。盾构机在盾构施工结束后，采用原位地下拆解，即盾构机在盾构施工至设计终点后停机，拆解前先通过超前注浆及径向注浆加固盾构主机所在位置周围岩层，同时采取紧固螺栓等措施防止管片松弛。之后</w:t>
            </w:r>
            <w:r>
              <w:rPr>
                <w:rFonts w:hint="eastAsia" w:cs="Times New Roman"/>
                <w:color w:val="auto"/>
                <w:sz w:val="24"/>
                <w:lang w:eastAsia="zh-CN"/>
              </w:rPr>
              <w:t>，</w:t>
            </w:r>
            <w:r>
              <w:rPr>
                <w:rFonts w:hint="eastAsia" w:ascii="Times New Roman" w:hAnsi="Times New Roman" w:eastAsia="宋体" w:cs="Times New Roman"/>
                <w:color w:val="auto"/>
                <w:sz w:val="24"/>
              </w:rPr>
              <w:t>将后配套牵引至洞外，主机洞内拆除后运出。拆解后盾构机盾壳留在原位置，在洞内浇筑钢筋混凝土衬砌，再进行后续段落暗挖施工。</w:t>
            </w:r>
          </w:p>
          <w:p w14:paraId="2C8520A8">
            <w:pPr>
              <w:spacing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1</w:t>
            </w:r>
            <w:r>
              <w:rPr>
                <w:rFonts w:ascii="Times New Roman" w:hAnsi="Times New Roman" w:eastAsia="宋体" w:cs="Times New Roman"/>
                <w:color w:val="auto"/>
                <w:sz w:val="24"/>
              </w:rPr>
              <w:t>.</w:t>
            </w:r>
            <w:r>
              <w:rPr>
                <w:rFonts w:hint="eastAsia" w:ascii="Times New Roman" w:hAnsi="Times New Roman" w:eastAsia="宋体" w:cs="Times New Roman"/>
                <w:color w:val="auto"/>
                <w:sz w:val="24"/>
              </w:rPr>
              <w:t>盾构始发总体方案</w:t>
            </w:r>
          </w:p>
          <w:p w14:paraId="503E2342">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盾构始发，通常是指在盾构始发工作空间内利用反力架和临时组装的负环管片等设备或设施，将处于始发基座上的盾构推入端头加固土体，然后进入原状地层区段，并沿着设计线路掘进的一系列作业过程。大体施工流程如下图所示。</w:t>
            </w:r>
          </w:p>
          <w:p w14:paraId="4365B3B3">
            <w:pPr>
              <w:spacing w:line="360" w:lineRule="auto"/>
              <w:ind w:firstLine="480" w:firstLineChars="200"/>
              <w:rPr>
                <w:rFonts w:hint="eastAsia" w:ascii="Times New Roman" w:hAnsi="Times New Roman" w:eastAsia="宋体" w:cs="Times New Roman"/>
                <w:color w:val="auto"/>
                <w:sz w:val="24"/>
              </w:rPr>
            </w:pPr>
          </w:p>
          <w:p w14:paraId="27481515">
            <w:pPr>
              <w:spacing w:line="360" w:lineRule="auto"/>
              <w:ind w:firstLine="480" w:firstLineChars="200"/>
              <w:rPr>
                <w:rFonts w:hint="eastAsia" w:ascii="Times New Roman" w:hAnsi="Times New Roman" w:eastAsia="宋体" w:cs="Times New Roman"/>
                <w:color w:val="auto"/>
                <w:sz w:val="24"/>
              </w:rPr>
            </w:pPr>
          </w:p>
          <w:p w14:paraId="00566FCF">
            <w:pPr>
              <w:spacing w:line="360" w:lineRule="auto"/>
              <w:ind w:firstLine="480" w:firstLineChars="200"/>
              <w:rPr>
                <w:rFonts w:hint="eastAsia" w:ascii="Times New Roman" w:hAnsi="Times New Roman" w:eastAsia="宋体" w:cs="Times New Roman"/>
                <w:color w:val="auto"/>
                <w:sz w:val="24"/>
              </w:rPr>
            </w:pPr>
          </w:p>
          <w:p w14:paraId="39A1D6FC">
            <w:pPr>
              <w:spacing w:line="360" w:lineRule="auto"/>
              <w:ind w:firstLine="480" w:firstLineChars="200"/>
              <w:rPr>
                <w:rFonts w:hint="eastAsia" w:ascii="Times New Roman" w:hAnsi="Times New Roman" w:eastAsia="宋体" w:cs="Times New Roman"/>
                <w:color w:val="auto"/>
                <w:sz w:val="24"/>
              </w:rPr>
            </w:pPr>
          </w:p>
          <w:p w14:paraId="75FF50B6">
            <w:pPr>
              <w:spacing w:line="360" w:lineRule="auto"/>
              <w:jc w:val="center"/>
              <w:rPr>
                <w:rFonts w:hint="eastAsia"/>
                <w:color w:val="auto"/>
              </w:rPr>
            </w:pPr>
            <w:r>
              <w:rPr>
                <w:rFonts w:hint="eastAsia"/>
                <w:color w:val="auto"/>
              </w:rPr>
              <w:drawing>
                <wp:inline distT="0" distB="0" distL="114300" distR="114300">
                  <wp:extent cx="3383280" cy="4419600"/>
                  <wp:effectExtent l="0" t="0" r="7620" b="0"/>
                  <wp:docPr id="4" name="图片 23" descr="盾构始发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3" descr="盾构始发流程图"/>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383280" cy="4419600"/>
                          </a:xfrm>
                          <a:prstGeom prst="rect">
                            <a:avLst/>
                          </a:prstGeom>
                        </pic:spPr>
                      </pic:pic>
                    </a:graphicData>
                  </a:graphic>
                </wp:inline>
              </w:drawing>
            </w:r>
          </w:p>
          <w:p w14:paraId="7F96724D">
            <w:pPr>
              <w:pStyle w:val="7"/>
              <w:spacing w:after="0" w:line="360" w:lineRule="auto"/>
              <w:jc w:val="center"/>
              <w:rPr>
                <w:rFonts w:hint="eastAsia"/>
                <w:b/>
                <w:bCs/>
                <w:color w:val="auto"/>
                <w:szCs w:val="21"/>
                <w:lang w:val="en-US" w:eastAsia="zh-CN"/>
              </w:rPr>
            </w:pPr>
            <w:r>
              <w:rPr>
                <w:rFonts w:hint="eastAsia"/>
                <w:b/>
                <w:bCs/>
                <w:color w:val="auto"/>
                <w:szCs w:val="21"/>
                <w:lang w:val="en-US" w:eastAsia="zh-CN"/>
              </w:rPr>
              <w:t>图2-3    施工工艺流程图</w:t>
            </w:r>
          </w:p>
          <w:p w14:paraId="72ED1593">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2. 始发基座的安装</w:t>
            </w:r>
          </w:p>
          <w:p w14:paraId="6828ED51">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盾构机组装前，依据斜井设计轴线与洞口定出盾构机始发姿态的空间位置，然后反推出始发基座的空间位置。由于始发基座在盾构机始发时要承受纵向、横向的推力以及约束盾构机旋转的扭矩，所以在盾构机始发前，必须对始发基座两侧与盾构机井或盾构始发明洞预埋件及钢支撑进行连接固定。</w:t>
            </w:r>
          </w:p>
          <w:p w14:paraId="4504F4D1">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3.反力架的安装</w:t>
            </w:r>
          </w:p>
          <w:p w14:paraId="6A30BFE1">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在盾构机主机与后配套连接之前，进行反力架的安装。</w:t>
            </w:r>
          </w:p>
          <w:p w14:paraId="6B3DFF4A">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由于反力架为盾构机始发时提供反推力，在安反力架时，反力架端面应与始发台轴线垂直，以便盾构机轴线与隧道设计轴线保持平行。</w:t>
            </w:r>
          </w:p>
          <w:p w14:paraId="1F63A9A5">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安装时反力架与车站结构连接部位的间隙要垫实，以保证反力架脚板有足够的抗压强度。</w:t>
            </w:r>
          </w:p>
          <w:p w14:paraId="43B4584E">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4.洞门密封</w:t>
            </w:r>
          </w:p>
          <w:p w14:paraId="78AC8432">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为了防止盾构始发掘进时泥土、地下水及循环泥浆从盾壳和洞门的间隙处流失，以及盾尾通过洞门后背衬注浆浆液的流失，在盾构始发时需安装洞门临时密封装置。临时密封装置由两道钢丝刷和一道橡胶板密封组成，其中橡胶板密封由帘布橡胶、扇形压板、折叶板、垫片和螺栓等组成。</w:t>
            </w:r>
          </w:p>
          <w:p w14:paraId="4414B12E">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为了保证在盾构机始发时快速、牢固地安装密封装置，在竖井内衬墙结构预留洞门处预埋环状钢板。</w:t>
            </w:r>
          </w:p>
          <w:p w14:paraId="2C0A8ABB">
            <w:pPr>
              <w:spacing w:line="360" w:lineRule="auto"/>
              <w:ind w:firstLine="482" w:firstLineChars="200"/>
              <w:rPr>
                <w:rFonts w:hint="eastAsia" w:eastAsiaTheme="minorEastAsia"/>
                <w:b/>
                <w:bCs/>
                <w:color w:val="auto"/>
                <w:sz w:val="24"/>
                <w:szCs w:val="24"/>
              </w:rPr>
            </w:pPr>
            <w:r>
              <w:rPr>
                <w:rFonts w:hint="eastAsia" w:eastAsiaTheme="minorEastAsia"/>
                <w:b/>
                <w:bCs/>
                <w:color w:val="auto"/>
                <w:sz w:val="24"/>
                <w:szCs w:val="24"/>
                <w:lang w:val="en-US" w:eastAsia="zh-CN"/>
              </w:rPr>
              <w:t>3</w:t>
            </w:r>
            <w:r>
              <w:rPr>
                <w:rFonts w:hint="eastAsia" w:eastAsiaTheme="minorEastAsia"/>
                <w:b/>
                <w:bCs/>
                <w:color w:val="auto"/>
                <w:sz w:val="24"/>
                <w:szCs w:val="24"/>
              </w:rPr>
              <w:t>、施工时序</w:t>
            </w:r>
          </w:p>
          <w:p w14:paraId="7AA00ACB">
            <w:pPr>
              <w:spacing w:line="360" w:lineRule="auto"/>
              <w:ind w:firstLine="480" w:firstLineChars="200"/>
              <w:rPr>
                <w:rFonts w:eastAsia="Times New Roman"/>
                <w:color w:val="auto"/>
                <w:sz w:val="24"/>
              </w:rPr>
            </w:pPr>
            <w:r>
              <w:rPr>
                <w:rFonts w:hint="eastAsia" w:ascii="Times New Roman" w:hAnsi="Times New Roman" w:eastAsia="宋体" w:cs="Times New Roman"/>
                <w:color w:val="auto"/>
                <w:sz w:val="24"/>
                <w:lang w:val="en-US" w:eastAsia="zh-CN"/>
              </w:rPr>
              <w:t>本项目预计2025年4月开始施工，2025年4月-2025年7月，始发基座的安装；2025年7月-2025年9月，反力架的安装；2025年9月-2026年8月，洞门密封。</w:t>
            </w:r>
          </w:p>
        </w:tc>
      </w:tr>
      <w:tr w14:paraId="34997F1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809" w:hRule="atLeast"/>
          <w:jc w:val="center"/>
        </w:trPr>
        <w:tc>
          <w:tcPr>
            <w:tcW w:w="456" w:type="dxa"/>
            <w:vAlign w:val="center"/>
          </w:tcPr>
          <w:p w14:paraId="3B05B5AF">
            <w:pPr>
              <w:spacing w:line="360" w:lineRule="auto"/>
              <w:jc w:val="center"/>
              <w:rPr>
                <w:rFonts w:eastAsia="Times New Roman"/>
                <w:color w:val="auto"/>
                <w:sz w:val="24"/>
              </w:rPr>
            </w:pPr>
            <w:r>
              <w:rPr>
                <w:rFonts w:eastAsia="Times New Roman"/>
                <w:color w:val="auto"/>
                <w:sz w:val="24"/>
              </w:rPr>
              <w:t>其他</w:t>
            </w:r>
          </w:p>
        </w:tc>
        <w:tc>
          <w:tcPr>
            <w:tcW w:w="8534" w:type="dxa"/>
            <w:vAlign w:val="center"/>
          </w:tcPr>
          <w:p w14:paraId="6CFAAC09">
            <w:pPr>
              <w:widowControl/>
              <w:spacing w:line="360" w:lineRule="auto"/>
              <w:jc w:val="center"/>
              <w:rPr>
                <w:color w:val="auto"/>
              </w:rPr>
            </w:pPr>
          </w:p>
          <w:p w14:paraId="55D62AF8">
            <w:pPr>
              <w:pStyle w:val="5"/>
              <w:rPr>
                <w:color w:val="auto"/>
              </w:rPr>
            </w:pPr>
          </w:p>
          <w:p w14:paraId="13245203">
            <w:pPr>
              <w:pStyle w:val="18"/>
              <w:rPr>
                <w:color w:val="auto"/>
              </w:rPr>
            </w:pPr>
          </w:p>
          <w:p w14:paraId="2283D3E3">
            <w:pPr>
              <w:pStyle w:val="17"/>
              <w:rPr>
                <w:color w:val="auto"/>
              </w:rPr>
            </w:pPr>
          </w:p>
          <w:p w14:paraId="501328B3">
            <w:pPr>
              <w:jc w:val="center"/>
              <w:rPr>
                <w:color w:val="auto"/>
              </w:rPr>
            </w:pPr>
            <w:r>
              <w:rPr>
                <w:rFonts w:hint="eastAsia"/>
                <w:color w:val="auto"/>
                <w:sz w:val="24"/>
              </w:rPr>
              <w:t>无</w:t>
            </w:r>
          </w:p>
          <w:p w14:paraId="7148E6D5">
            <w:pPr>
              <w:pStyle w:val="5"/>
              <w:rPr>
                <w:color w:val="auto"/>
              </w:rPr>
            </w:pPr>
          </w:p>
          <w:p w14:paraId="78B192B1">
            <w:pPr>
              <w:pStyle w:val="3"/>
              <w:rPr>
                <w:color w:val="auto"/>
              </w:rPr>
            </w:pPr>
          </w:p>
          <w:p w14:paraId="01206CE9">
            <w:pPr>
              <w:pStyle w:val="5"/>
              <w:rPr>
                <w:color w:val="auto"/>
              </w:rPr>
            </w:pPr>
          </w:p>
          <w:p w14:paraId="4A635175">
            <w:pPr>
              <w:pStyle w:val="3"/>
              <w:rPr>
                <w:color w:val="auto"/>
              </w:rPr>
            </w:pPr>
          </w:p>
          <w:p w14:paraId="25DAD70C">
            <w:pPr>
              <w:widowControl/>
              <w:spacing w:line="360" w:lineRule="auto"/>
              <w:jc w:val="both"/>
              <w:rPr>
                <w:color w:val="auto"/>
              </w:rPr>
            </w:pPr>
          </w:p>
        </w:tc>
      </w:tr>
    </w:tbl>
    <w:p w14:paraId="098C775C">
      <w:pPr>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0F9D41EC">
      <w:pPr>
        <w:pStyle w:val="2"/>
        <w:spacing w:line="360" w:lineRule="auto"/>
        <w:jc w:val="center"/>
        <w:rPr>
          <w:rFonts w:eastAsia="Times New Roman"/>
          <w:color w:val="auto"/>
          <w:sz w:val="32"/>
          <w:szCs w:val="32"/>
        </w:rPr>
      </w:pPr>
      <w:r>
        <w:rPr>
          <w:rFonts w:eastAsia="Times New Roman"/>
          <w:color w:val="auto"/>
          <w:sz w:val="32"/>
          <w:szCs w:val="32"/>
        </w:rPr>
        <w:t>三、生态环境现状、保护目标及评价标准</w:t>
      </w:r>
    </w:p>
    <w:tbl>
      <w:tblPr>
        <w:tblStyle w:val="19"/>
        <w:tblW w:w="8902"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4" w:space="0"/>
        </w:tblBorders>
        <w:tblLayout w:type="autofit"/>
        <w:tblCellMar>
          <w:top w:w="0" w:type="dxa"/>
          <w:left w:w="108" w:type="dxa"/>
          <w:bottom w:w="0" w:type="dxa"/>
          <w:right w:w="108" w:type="dxa"/>
        </w:tblCellMar>
      </w:tblPr>
      <w:tblGrid>
        <w:gridCol w:w="456"/>
        <w:gridCol w:w="8595"/>
      </w:tblGrid>
      <w:tr w14:paraId="710A3F08">
        <w:tblPrEx>
          <w:tblBorders>
            <w:top w:val="single" w:color="000000" w:sz="8" w:space="0"/>
            <w:left w:val="single" w:color="000000" w:sz="8" w:space="0"/>
            <w:bottom w:val="single" w:color="000000" w:sz="4" w:space="0"/>
            <w:right w:val="single" w:color="000000" w:sz="8" w:space="0"/>
            <w:insideH w:val="single" w:color="000000" w:sz="8" w:space="0"/>
            <w:insideV w:val="single" w:color="000000" w:sz="4" w:space="0"/>
          </w:tblBorders>
          <w:tblCellMar>
            <w:top w:w="0" w:type="dxa"/>
            <w:left w:w="108" w:type="dxa"/>
            <w:bottom w:w="0" w:type="dxa"/>
            <w:right w:w="108" w:type="dxa"/>
          </w:tblCellMar>
        </w:tblPrEx>
        <w:trPr>
          <w:trHeight w:val="2408" w:hRule="atLeast"/>
          <w:jc w:val="center"/>
        </w:trPr>
        <w:tc>
          <w:tcPr>
            <w:tcW w:w="456" w:type="dxa"/>
            <w:tcBorders>
              <w:tl2br w:val="nil"/>
              <w:tr2bl w:val="nil"/>
            </w:tcBorders>
            <w:vAlign w:val="center"/>
          </w:tcPr>
          <w:p w14:paraId="1C9D2C6B">
            <w:pPr>
              <w:snapToGrid w:val="0"/>
              <w:jc w:val="center"/>
              <w:rPr>
                <w:rFonts w:eastAsia="Times New Roman"/>
                <w:color w:val="auto"/>
                <w:szCs w:val="21"/>
              </w:rPr>
            </w:pPr>
            <w:r>
              <w:rPr>
                <w:rFonts w:eastAsia="Times New Roman"/>
                <w:color w:val="auto"/>
                <w:sz w:val="24"/>
              </w:rPr>
              <w:t>生态环境现状</w:t>
            </w:r>
          </w:p>
        </w:tc>
        <w:tc>
          <w:tcPr>
            <w:tcW w:w="8446" w:type="dxa"/>
            <w:tcBorders>
              <w:tl2br w:val="nil"/>
              <w:tr2bl w:val="nil"/>
            </w:tcBorders>
            <w:vAlign w:val="center"/>
          </w:tcPr>
          <w:p w14:paraId="2ECC7F2E">
            <w:pPr>
              <w:spacing w:line="360" w:lineRule="auto"/>
              <w:ind w:firstLine="480"/>
              <w:rPr>
                <w:rFonts w:eastAsia="Times New Roman"/>
                <w:color w:val="auto"/>
                <w:sz w:val="24"/>
              </w:rPr>
            </w:pPr>
            <w:r>
              <w:rPr>
                <w:rFonts w:eastAsia="Times New Roman"/>
                <w:color w:val="auto"/>
                <w:sz w:val="24"/>
              </w:rPr>
              <w:t>1、环境空气质量现状</w:t>
            </w:r>
          </w:p>
          <w:p w14:paraId="216C0A16">
            <w:pPr>
              <w:pStyle w:val="7"/>
              <w:spacing w:after="0" w:line="360" w:lineRule="auto"/>
              <w:ind w:firstLine="480" w:firstLineChars="200"/>
              <w:rPr>
                <w:color w:val="auto"/>
                <w:sz w:val="24"/>
              </w:rPr>
            </w:pPr>
            <w:r>
              <w:rPr>
                <w:color w:val="auto"/>
                <w:sz w:val="24"/>
              </w:rPr>
              <w:t>1.1达标区判定</w:t>
            </w:r>
          </w:p>
          <w:p w14:paraId="4222AF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根据《环境影响评价技术导则大气环境》（HJ2.2-2018）中6.4.1.1中的内容</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城市环境空气质量达标评价指标为SO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、NO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、PM</w:t>
            </w:r>
            <w:r>
              <w:rPr>
                <w:rFonts w:hint="default" w:ascii="Times New Roman" w:hAnsi="Times New Roman" w:cs="Times New Roman"/>
                <w:color w:val="auto"/>
                <w:sz w:val="24"/>
                <w:szCs w:val="24"/>
                <w:vertAlign w:val="subscript"/>
              </w:rPr>
              <w:t>10</w:t>
            </w:r>
            <w:r>
              <w:rPr>
                <w:rFonts w:hint="default" w:ascii="Times New Roman" w:hAnsi="Times New Roman" w:cs="Times New Roman"/>
                <w:color w:val="auto"/>
                <w:sz w:val="24"/>
                <w:szCs w:val="24"/>
              </w:rPr>
              <w:t>、PM</w:t>
            </w:r>
            <w:r>
              <w:rPr>
                <w:rFonts w:hint="default" w:ascii="Times New Roman" w:hAnsi="Times New Roman" w:cs="Times New Roman"/>
                <w:color w:val="auto"/>
                <w:sz w:val="24"/>
                <w:szCs w:val="24"/>
                <w:vertAlign w:val="subscript"/>
              </w:rPr>
              <w:t>2.5</w:t>
            </w:r>
            <w:r>
              <w:rPr>
                <w:rFonts w:hint="default" w:ascii="Times New Roman" w:hAnsi="Times New Roman" w:cs="Times New Roman"/>
                <w:color w:val="auto"/>
                <w:sz w:val="24"/>
                <w:szCs w:val="24"/>
              </w:rPr>
              <w:t>、CO和O</w:t>
            </w:r>
            <w:r>
              <w:rPr>
                <w:rFonts w:hint="default" w:ascii="Times New Roman" w:hAnsi="Times New Roman" w:cs="Times New Roman"/>
                <w:color w:val="auto"/>
                <w:sz w:val="24"/>
                <w:szCs w:val="24"/>
                <w:vertAlign w:val="subscript"/>
              </w:rPr>
              <w:t>3</w:t>
            </w:r>
            <w:r>
              <w:rPr>
                <w:rFonts w:hint="default" w:ascii="Times New Roman" w:hAnsi="Times New Roman" w:cs="Times New Roman"/>
                <w:color w:val="auto"/>
                <w:sz w:val="24"/>
                <w:szCs w:val="24"/>
              </w:rPr>
              <w:t>，六项污染物全部达标即为城市环境空气质量达标</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w:t>
            </w:r>
          </w:p>
          <w:p w14:paraId="43578E18">
            <w:pPr>
              <w:spacing w:line="360" w:lineRule="auto"/>
              <w:ind w:firstLine="480"/>
              <w:rPr>
                <w:color w:val="auto"/>
                <w:sz w:val="24"/>
                <w:szCs w:val="24"/>
              </w:rPr>
            </w:pPr>
            <w:r>
              <w:rPr>
                <w:rFonts w:hint="default" w:ascii="Times New Roman" w:hAnsi="Times New Roman" w:cs="Times New Roman"/>
                <w:color w:val="auto"/>
                <w:sz w:val="24"/>
              </w:rPr>
              <w:t>根据内蒙古自治区生态环境厅发布的《内蒙古自治区生态环境状况公报2023》，全区12盟市中，除乌海市，其他11个盟市环境空气质量均达标，故项</w:t>
            </w:r>
            <w:r>
              <w:rPr>
                <w:rFonts w:hint="default" w:ascii="Times New Roman" w:hAnsi="Times New Roman" w:eastAsia="宋体" w:cs="Times New Roman"/>
                <w:color w:val="auto"/>
                <w:sz w:val="24"/>
              </w:rPr>
              <w:t>目所在区域为环境空气质量达标区</w:t>
            </w:r>
            <w:r>
              <w:rPr>
                <w:color w:val="auto"/>
                <w:sz w:val="24"/>
                <w:szCs w:val="24"/>
              </w:rPr>
              <w:t>。</w:t>
            </w:r>
          </w:p>
          <w:p w14:paraId="09449EFB">
            <w:pPr>
              <w:pStyle w:val="7"/>
              <w:spacing w:after="0" w:line="360" w:lineRule="auto"/>
              <w:ind w:firstLine="480" w:firstLineChars="200"/>
              <w:rPr>
                <w:color w:val="auto"/>
                <w:sz w:val="24"/>
              </w:rPr>
            </w:pPr>
            <w:r>
              <w:rPr>
                <w:color w:val="auto"/>
                <w:sz w:val="24"/>
              </w:rPr>
              <w:t>1.2其他污染物环境质量现状</w:t>
            </w:r>
          </w:p>
          <w:p w14:paraId="4C1C69DC">
            <w:pPr>
              <w:pStyle w:val="7"/>
              <w:spacing w:after="0"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根据《建设项目环境影响报告表编制技术指南（污染影响类）（试行）》，排放国家、地方环境空气质量标准中有标准限值要求的特征污染物时，引用建设项目周边5千米范围内近3年的现有监测数据，无相关数据的选择当季主导风向下风向1个点位补充不少于3天的监测数据。本工程环境空气特征因子为</w:t>
            </w:r>
            <w:r>
              <w:rPr>
                <w:rFonts w:hint="eastAsia" w:ascii="Times New Roman" w:hAnsi="Times New Roman" w:eastAsia="宋体" w:cs="Times New Roman"/>
                <w:color w:val="auto"/>
                <w:sz w:val="24"/>
                <w:lang w:val="en-US" w:eastAsia="zh-CN"/>
              </w:rPr>
              <w:t>TSP</w:t>
            </w:r>
            <w:r>
              <w:rPr>
                <w:rFonts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TSP</w:t>
            </w:r>
            <w:r>
              <w:rPr>
                <w:rFonts w:ascii="Times New Roman" w:hAnsi="Times New Roman" w:eastAsia="宋体" w:cs="Times New Roman"/>
                <w:color w:val="auto"/>
                <w:sz w:val="24"/>
              </w:rPr>
              <w:t>由</w:t>
            </w:r>
            <w:r>
              <w:rPr>
                <w:rFonts w:hint="default" w:ascii="Times New Roman" w:hAnsi="Times New Roman" w:eastAsia="宋体" w:cs="Times New Roman"/>
                <w:color w:val="auto"/>
                <w:sz w:val="24"/>
              </w:rPr>
              <w:t>内蒙古航峰检测技术有限公司</w:t>
            </w:r>
            <w:r>
              <w:rPr>
                <w:rFonts w:ascii="Times New Roman" w:hAnsi="Times New Roman" w:eastAsia="宋体" w:cs="Times New Roman"/>
                <w:color w:val="auto"/>
                <w:sz w:val="24"/>
              </w:rPr>
              <w:t>进行监测，监测时间为2024年</w:t>
            </w:r>
            <w:r>
              <w:rPr>
                <w:rFonts w:hint="eastAsia" w:ascii="Times New Roman" w:hAnsi="Times New Roman" w:eastAsia="宋体" w:cs="Times New Roman"/>
                <w:color w:val="auto"/>
                <w:sz w:val="24"/>
                <w:lang w:val="en-US" w:eastAsia="zh-CN"/>
              </w:rPr>
              <w:t>11</w:t>
            </w:r>
            <w:r>
              <w:rPr>
                <w:rFonts w:ascii="Times New Roman" w:hAnsi="Times New Roman" w:eastAsia="宋体" w:cs="Times New Roman"/>
                <w:color w:val="auto"/>
                <w:sz w:val="24"/>
              </w:rPr>
              <w:t>月</w:t>
            </w:r>
            <w:r>
              <w:rPr>
                <w:rFonts w:hint="eastAsia" w:ascii="Times New Roman" w:hAnsi="Times New Roman" w:eastAsia="宋体" w:cs="Times New Roman"/>
                <w:color w:val="auto"/>
                <w:sz w:val="24"/>
                <w:lang w:val="en-US" w:eastAsia="zh-CN"/>
              </w:rPr>
              <w:t>10</w:t>
            </w:r>
            <w:r>
              <w:rPr>
                <w:rFonts w:ascii="Times New Roman" w:hAnsi="Times New Roman" w:eastAsia="宋体" w:cs="Times New Roman"/>
                <w:color w:val="auto"/>
                <w:sz w:val="24"/>
              </w:rPr>
              <w:t>日~</w:t>
            </w:r>
            <w:r>
              <w:rPr>
                <w:rFonts w:hint="eastAsia" w:ascii="Times New Roman" w:hAnsi="Times New Roman" w:eastAsia="宋体" w:cs="Times New Roman"/>
                <w:color w:val="auto"/>
                <w:sz w:val="24"/>
                <w:lang w:val="en-US" w:eastAsia="zh-CN"/>
              </w:rPr>
              <w:t>11</w:t>
            </w:r>
            <w:r>
              <w:rPr>
                <w:rFonts w:ascii="Times New Roman" w:hAnsi="Times New Roman" w:eastAsia="宋体" w:cs="Times New Roman"/>
                <w:color w:val="auto"/>
                <w:sz w:val="24"/>
              </w:rPr>
              <w:t>月1</w:t>
            </w:r>
            <w:r>
              <w:rPr>
                <w:rFonts w:hint="eastAsia" w:ascii="Times New Roman" w:hAnsi="Times New Roman" w:eastAsia="宋体" w:cs="Times New Roman"/>
                <w:color w:val="auto"/>
                <w:sz w:val="24"/>
                <w:lang w:val="en-US" w:eastAsia="zh-CN"/>
              </w:rPr>
              <w:t>2</w:t>
            </w:r>
            <w:r>
              <w:rPr>
                <w:rFonts w:ascii="Times New Roman" w:hAnsi="Times New Roman" w:eastAsia="宋体" w:cs="Times New Roman"/>
                <w:color w:val="auto"/>
                <w:sz w:val="24"/>
              </w:rPr>
              <w:t>日，连续监测3天。</w:t>
            </w:r>
          </w:p>
          <w:p w14:paraId="09975C67">
            <w:pPr>
              <w:spacing w:line="360" w:lineRule="auto"/>
              <w:ind w:firstLine="480" w:firstLineChars="200"/>
              <w:rPr>
                <w:color w:val="auto"/>
                <w:sz w:val="24"/>
              </w:rPr>
            </w:pPr>
            <w:r>
              <w:rPr>
                <w:color w:val="auto"/>
                <w:sz w:val="24"/>
              </w:rPr>
              <w:t>a、监测项目</w:t>
            </w:r>
          </w:p>
          <w:p w14:paraId="36BE0AD6">
            <w:pPr>
              <w:spacing w:line="360" w:lineRule="auto"/>
              <w:ind w:firstLine="480" w:firstLineChars="200"/>
              <w:rPr>
                <w:color w:val="auto"/>
                <w:sz w:val="24"/>
              </w:rPr>
            </w:pPr>
            <w:r>
              <w:rPr>
                <w:rFonts w:hint="eastAsia" w:ascii="Times New Roman" w:hAnsi="Times New Roman" w:eastAsia="宋体" w:cs="Times New Roman"/>
                <w:color w:val="auto"/>
                <w:sz w:val="24"/>
                <w:lang w:val="en-US" w:eastAsia="zh-CN"/>
              </w:rPr>
              <w:t>TSP</w:t>
            </w:r>
          </w:p>
          <w:p w14:paraId="3FCDCE51">
            <w:pPr>
              <w:spacing w:line="360" w:lineRule="auto"/>
              <w:ind w:firstLine="480" w:firstLineChars="200"/>
              <w:rPr>
                <w:color w:val="auto"/>
                <w:sz w:val="24"/>
              </w:rPr>
            </w:pPr>
            <w:r>
              <w:rPr>
                <w:color w:val="auto"/>
                <w:sz w:val="24"/>
              </w:rPr>
              <w:t>b、监测时段及频率</w:t>
            </w:r>
          </w:p>
          <w:p w14:paraId="3E3FA130">
            <w:pPr>
              <w:spacing w:line="360" w:lineRule="auto"/>
              <w:ind w:firstLine="480" w:firstLineChars="200"/>
              <w:rPr>
                <w:color w:val="auto"/>
                <w:sz w:val="24"/>
              </w:rPr>
            </w:pPr>
            <w:r>
              <w:rPr>
                <w:color w:val="auto"/>
                <w:sz w:val="24"/>
              </w:rPr>
              <w:t>连续监测3天，每天获取4个1小时平均浓度，同时观测记录风向、风速、气压、气温等气象参数。</w:t>
            </w:r>
          </w:p>
          <w:p w14:paraId="02328D57">
            <w:pPr>
              <w:spacing w:line="360" w:lineRule="auto"/>
              <w:ind w:firstLine="480" w:firstLineChars="200"/>
              <w:rPr>
                <w:color w:val="auto"/>
                <w:sz w:val="24"/>
              </w:rPr>
            </w:pPr>
            <w:r>
              <w:rPr>
                <w:color w:val="auto"/>
                <w:sz w:val="24"/>
              </w:rPr>
              <w:t>c、监测点位</w:t>
            </w:r>
          </w:p>
          <w:p w14:paraId="0DD967E0">
            <w:pPr>
              <w:spacing w:line="360" w:lineRule="auto"/>
              <w:ind w:firstLine="480" w:firstLineChars="200"/>
              <w:rPr>
                <w:color w:val="auto"/>
                <w:sz w:val="24"/>
              </w:rPr>
            </w:pPr>
            <w:r>
              <w:rPr>
                <w:color w:val="auto"/>
                <w:sz w:val="24"/>
              </w:rPr>
              <w:t>厂区下风向。</w:t>
            </w:r>
          </w:p>
          <w:p w14:paraId="619DEB47">
            <w:pPr>
              <w:spacing w:line="360" w:lineRule="auto"/>
              <w:ind w:firstLine="480" w:firstLineChars="200"/>
              <w:rPr>
                <w:color w:val="auto"/>
                <w:sz w:val="24"/>
              </w:rPr>
            </w:pPr>
            <w:r>
              <w:rPr>
                <w:color w:val="auto"/>
                <w:sz w:val="24"/>
              </w:rPr>
              <w:t>d、监测分析方法</w:t>
            </w:r>
          </w:p>
          <w:p w14:paraId="471EDE93">
            <w:pPr>
              <w:spacing w:line="360" w:lineRule="auto"/>
              <w:ind w:firstLine="480" w:firstLineChars="200"/>
              <w:rPr>
                <w:color w:val="auto"/>
                <w:sz w:val="24"/>
              </w:rPr>
            </w:pPr>
            <w:r>
              <w:rPr>
                <w:color w:val="auto"/>
                <w:sz w:val="24"/>
              </w:rPr>
              <w:t>分析方法及检测仪器见</w:t>
            </w:r>
            <w:r>
              <w:rPr>
                <w:rFonts w:hint="eastAsia"/>
                <w:color w:val="auto"/>
                <w:sz w:val="24"/>
                <w:lang w:eastAsia="zh-CN"/>
              </w:rPr>
              <w:t>下</w:t>
            </w:r>
            <w:r>
              <w:rPr>
                <w:color w:val="auto"/>
                <w:sz w:val="24"/>
              </w:rPr>
              <w:t>表。</w:t>
            </w:r>
          </w:p>
          <w:p w14:paraId="21B1981A">
            <w:pPr>
              <w:spacing w:line="360" w:lineRule="auto"/>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eastAsia="zh-CN"/>
              </w:rPr>
              <w:t>表</w:t>
            </w:r>
            <w:r>
              <w:rPr>
                <w:rFonts w:hint="eastAsia" w:ascii="Times New Roman" w:hAnsi="Times New Roman" w:eastAsia="宋体" w:cs="Times New Roman"/>
                <w:b/>
                <w:bCs/>
                <w:color w:val="auto"/>
                <w:szCs w:val="21"/>
                <w:lang w:val="en-US" w:eastAsia="zh-CN"/>
              </w:rPr>
              <w:t>3-</w:t>
            </w:r>
            <w:r>
              <w:rPr>
                <w:rFonts w:hint="eastAsia" w:cs="Times New Roman"/>
                <w:b/>
                <w:bCs/>
                <w:color w:val="auto"/>
                <w:szCs w:val="21"/>
                <w:lang w:val="en-US" w:eastAsia="zh-CN"/>
              </w:rPr>
              <w:t>2</w:t>
            </w:r>
            <w:r>
              <w:rPr>
                <w:rFonts w:hint="eastAsia" w:ascii="Times New Roman" w:hAnsi="Times New Roman" w:eastAsia="宋体" w:cs="Times New Roman"/>
                <w:b/>
                <w:bCs/>
                <w:color w:val="auto"/>
                <w:szCs w:val="21"/>
                <w:lang w:val="en-US" w:eastAsia="zh-CN"/>
              </w:rPr>
              <w:t xml:space="preserve">    检测分析方法</w:t>
            </w:r>
          </w:p>
          <w:tbl>
            <w:tblPr>
              <w:tblStyle w:val="20"/>
              <w:tblW w:w="83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1665"/>
              <w:gridCol w:w="4231"/>
              <w:gridCol w:w="1343"/>
            </w:tblGrid>
            <w:tr w14:paraId="10A6F9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79" w:type="dxa"/>
                  <w:tcBorders>
                    <w:tl2br w:val="nil"/>
                    <w:tr2bl w:val="nil"/>
                  </w:tcBorders>
                  <w:noWrap w:val="0"/>
                  <w:vAlign w:val="center"/>
                </w:tcPr>
                <w:p w14:paraId="4E3FD084">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eastAsia="zh-CN"/>
                    </w:rPr>
                    <w:t>样品类别</w:t>
                  </w:r>
                </w:p>
              </w:tc>
              <w:tc>
                <w:tcPr>
                  <w:tcW w:w="1665" w:type="dxa"/>
                  <w:tcBorders>
                    <w:tl2br w:val="nil"/>
                    <w:tr2bl w:val="nil"/>
                  </w:tcBorders>
                  <w:noWrap w:val="0"/>
                  <w:vAlign w:val="center"/>
                </w:tcPr>
                <w:p w14:paraId="6B97E109">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检测项目</w:t>
                  </w:r>
                </w:p>
              </w:tc>
              <w:tc>
                <w:tcPr>
                  <w:tcW w:w="4231" w:type="dxa"/>
                  <w:tcBorders>
                    <w:tl2br w:val="nil"/>
                    <w:tr2bl w:val="nil"/>
                  </w:tcBorders>
                  <w:noWrap w:val="0"/>
                  <w:vAlign w:val="center"/>
                </w:tcPr>
                <w:p w14:paraId="379865DA">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检测依据</w:t>
                  </w:r>
                </w:p>
              </w:tc>
              <w:tc>
                <w:tcPr>
                  <w:tcW w:w="1343" w:type="dxa"/>
                  <w:tcBorders>
                    <w:tl2br w:val="nil"/>
                    <w:tr2bl w:val="nil"/>
                  </w:tcBorders>
                  <w:noWrap w:val="0"/>
                  <w:vAlign w:val="center"/>
                </w:tcPr>
                <w:p w14:paraId="4CE0758F">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检出限</w:t>
                  </w:r>
                </w:p>
              </w:tc>
            </w:tr>
            <w:tr w14:paraId="2F56A0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79" w:type="dxa"/>
                  <w:tcBorders>
                    <w:tl2br w:val="nil"/>
                    <w:tr2bl w:val="nil"/>
                  </w:tcBorders>
                  <w:noWrap w:val="0"/>
                  <w:vAlign w:val="center"/>
                </w:tcPr>
                <w:p w14:paraId="0FC8265B">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环境空气</w:t>
                  </w:r>
                </w:p>
              </w:tc>
              <w:tc>
                <w:tcPr>
                  <w:tcW w:w="1665" w:type="dxa"/>
                  <w:tcBorders>
                    <w:tl2br w:val="nil"/>
                    <w:tr2bl w:val="nil"/>
                  </w:tcBorders>
                  <w:noWrap w:val="0"/>
                  <w:vAlign w:val="center"/>
                </w:tcPr>
                <w:p w14:paraId="3E2AE9B0">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总悬浮颗粒物</w:t>
                  </w:r>
                </w:p>
              </w:tc>
              <w:tc>
                <w:tcPr>
                  <w:tcW w:w="4231" w:type="dxa"/>
                  <w:tcBorders>
                    <w:tl2br w:val="nil"/>
                    <w:tr2bl w:val="nil"/>
                  </w:tcBorders>
                  <w:noWrap w:val="0"/>
                  <w:vAlign w:val="center"/>
                </w:tcPr>
                <w:p w14:paraId="1D5EC759">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《环境空气 总悬浮颗粒物的测定 重量法》</w:t>
                  </w:r>
                </w:p>
                <w:p w14:paraId="5F809670">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HJ 1263-2022</w:t>
                  </w:r>
                </w:p>
              </w:tc>
              <w:tc>
                <w:tcPr>
                  <w:tcW w:w="1343" w:type="dxa"/>
                  <w:tcBorders>
                    <w:tl2br w:val="nil"/>
                    <w:tr2bl w:val="nil"/>
                  </w:tcBorders>
                  <w:noWrap w:val="0"/>
                  <w:vAlign w:val="center"/>
                </w:tcPr>
                <w:p w14:paraId="3E925060">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eastAsia="zh-CN"/>
                    </w:rPr>
                    <w:t>0.00</w:t>
                  </w:r>
                  <w:r>
                    <w:rPr>
                      <w:rFonts w:hint="eastAsia" w:ascii="Times New Roman" w:hAnsi="Times New Roman" w:eastAsia="宋体" w:cs="Times New Roman"/>
                      <w:b w:val="0"/>
                      <w:bCs w:val="0"/>
                      <w:color w:val="auto"/>
                      <w:sz w:val="21"/>
                      <w:szCs w:val="21"/>
                      <w:lang w:val="en-US" w:eastAsia="zh-CN"/>
                    </w:rPr>
                    <w:t>7</w:t>
                  </w:r>
                  <w:r>
                    <w:rPr>
                      <w:rFonts w:hint="default" w:ascii="Times New Roman" w:hAnsi="Times New Roman" w:eastAsia="宋体" w:cs="Times New Roman"/>
                      <w:b w:val="0"/>
                      <w:bCs w:val="0"/>
                      <w:color w:val="auto"/>
                      <w:sz w:val="21"/>
                      <w:szCs w:val="21"/>
                      <w:lang w:eastAsia="zh-CN"/>
                    </w:rPr>
                    <w:t>mg/m</w:t>
                  </w:r>
                  <w:r>
                    <w:rPr>
                      <w:rFonts w:hint="default" w:ascii="Times New Roman" w:hAnsi="Times New Roman" w:eastAsia="宋体" w:cs="Times New Roman"/>
                      <w:b w:val="0"/>
                      <w:bCs w:val="0"/>
                      <w:color w:val="auto"/>
                      <w:sz w:val="21"/>
                      <w:szCs w:val="21"/>
                      <w:vertAlign w:val="superscript"/>
                      <w:lang w:eastAsia="zh-CN"/>
                    </w:rPr>
                    <w:t>3</w:t>
                  </w:r>
                </w:p>
              </w:tc>
            </w:tr>
          </w:tbl>
          <w:p w14:paraId="6ADC4790">
            <w:pPr>
              <w:spacing w:line="360" w:lineRule="auto"/>
              <w:jc w:val="center"/>
              <w:rPr>
                <w:b/>
                <w:bCs/>
                <w:color w:val="auto"/>
                <w:szCs w:val="21"/>
              </w:rPr>
            </w:pPr>
            <w:r>
              <w:rPr>
                <w:b/>
                <w:bCs/>
                <w:color w:val="auto"/>
                <w:szCs w:val="21"/>
              </w:rPr>
              <w:t>表3-</w:t>
            </w:r>
            <w:r>
              <w:rPr>
                <w:rFonts w:hint="eastAsia"/>
                <w:b/>
                <w:bCs/>
                <w:color w:val="auto"/>
                <w:szCs w:val="21"/>
                <w:lang w:val="en-US" w:eastAsia="zh-CN"/>
              </w:rPr>
              <w:t>3</w:t>
            </w:r>
            <w:r>
              <w:rPr>
                <w:b/>
                <w:bCs/>
                <w:color w:val="auto"/>
                <w:szCs w:val="21"/>
              </w:rPr>
              <w:t xml:space="preserve">    检测技术依据及仪器设备一览表</w:t>
            </w:r>
          </w:p>
          <w:tbl>
            <w:tblPr>
              <w:tblStyle w:val="19"/>
              <w:tblW w:w="83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746"/>
              <w:gridCol w:w="2746"/>
              <w:gridCol w:w="2813"/>
            </w:tblGrid>
            <w:tr w14:paraId="562C56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46" w:type="dxa"/>
                  <w:tcBorders>
                    <w:tl2br w:val="nil"/>
                    <w:tr2bl w:val="nil"/>
                  </w:tcBorders>
                  <w:noWrap w:val="0"/>
                  <w:vAlign w:val="center"/>
                </w:tcPr>
                <w:p w14:paraId="367CA1FD">
                  <w:pPr>
                    <w:spacing w:line="240" w:lineRule="auto"/>
                    <w:jc w:val="center"/>
                    <w:rPr>
                      <w:rFonts w:hint="default" w:ascii="Times New Roman" w:hAnsi="Times New Roman" w:cs="Times New Roman"/>
                      <w:b w:val="0"/>
                      <w:bCs w:val="0"/>
                      <w:color w:val="auto"/>
                      <w:sz w:val="21"/>
                      <w:szCs w:val="21"/>
                      <w:lang w:eastAsia="zh-CN"/>
                    </w:rPr>
                  </w:pPr>
                  <w:r>
                    <w:rPr>
                      <w:rFonts w:hint="default" w:ascii="Times New Roman" w:hAnsi="Times New Roman" w:cs="Times New Roman"/>
                      <w:b w:val="0"/>
                      <w:bCs w:val="0"/>
                      <w:color w:val="auto"/>
                      <w:sz w:val="21"/>
                      <w:szCs w:val="21"/>
                      <w:lang w:eastAsia="zh-CN"/>
                    </w:rPr>
                    <w:t>仪器名称</w:t>
                  </w:r>
                </w:p>
              </w:tc>
              <w:tc>
                <w:tcPr>
                  <w:tcW w:w="2746" w:type="dxa"/>
                  <w:tcBorders>
                    <w:tl2br w:val="nil"/>
                    <w:tr2bl w:val="nil"/>
                  </w:tcBorders>
                  <w:noWrap w:val="0"/>
                  <w:vAlign w:val="center"/>
                </w:tcPr>
                <w:p w14:paraId="551C3CDC">
                  <w:pPr>
                    <w:spacing w:line="240" w:lineRule="auto"/>
                    <w:jc w:val="center"/>
                    <w:rPr>
                      <w:rFonts w:hint="default" w:ascii="Times New Roman" w:hAnsi="Times New Roman" w:cs="Times New Roman"/>
                      <w:b w:val="0"/>
                      <w:bCs w:val="0"/>
                      <w:color w:val="auto"/>
                      <w:sz w:val="21"/>
                      <w:szCs w:val="21"/>
                      <w:lang w:eastAsia="zh-CN"/>
                    </w:rPr>
                  </w:pPr>
                  <w:r>
                    <w:rPr>
                      <w:rFonts w:hint="default" w:ascii="Times New Roman" w:hAnsi="Times New Roman" w:cs="Times New Roman"/>
                      <w:b w:val="0"/>
                      <w:bCs w:val="0"/>
                      <w:color w:val="auto"/>
                      <w:sz w:val="21"/>
                      <w:szCs w:val="21"/>
                      <w:lang w:eastAsia="zh-CN"/>
                    </w:rPr>
                    <w:t>仪器型号</w:t>
                  </w:r>
                </w:p>
              </w:tc>
              <w:tc>
                <w:tcPr>
                  <w:tcW w:w="2813" w:type="dxa"/>
                  <w:tcBorders>
                    <w:tl2br w:val="nil"/>
                    <w:tr2bl w:val="nil"/>
                  </w:tcBorders>
                  <w:noWrap w:val="0"/>
                  <w:vAlign w:val="center"/>
                </w:tcPr>
                <w:p w14:paraId="77AFFCDC">
                  <w:pPr>
                    <w:spacing w:line="240" w:lineRule="auto"/>
                    <w:jc w:val="center"/>
                    <w:rPr>
                      <w:rFonts w:hint="default" w:ascii="Times New Roman" w:hAnsi="Times New Roman" w:cs="Times New Roman"/>
                      <w:b w:val="0"/>
                      <w:bCs w:val="0"/>
                      <w:color w:val="auto"/>
                      <w:sz w:val="21"/>
                      <w:szCs w:val="21"/>
                      <w:lang w:eastAsia="zh-CN"/>
                    </w:rPr>
                  </w:pPr>
                  <w:r>
                    <w:rPr>
                      <w:rFonts w:hint="default" w:ascii="Times New Roman" w:hAnsi="Times New Roman" w:cs="Times New Roman"/>
                      <w:b w:val="0"/>
                      <w:bCs w:val="0"/>
                      <w:color w:val="auto"/>
                      <w:sz w:val="21"/>
                      <w:szCs w:val="21"/>
                      <w:lang w:eastAsia="zh-CN"/>
                    </w:rPr>
                    <w:t>仪器编号</w:t>
                  </w:r>
                </w:p>
              </w:tc>
            </w:tr>
            <w:tr w14:paraId="28D72C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46" w:type="dxa"/>
                  <w:tcBorders>
                    <w:tl2br w:val="nil"/>
                    <w:tr2bl w:val="nil"/>
                  </w:tcBorders>
                  <w:noWrap w:val="0"/>
                  <w:vAlign w:val="center"/>
                </w:tcPr>
                <w:p w14:paraId="509A984B">
                  <w:pPr>
                    <w:spacing w:line="360" w:lineRule="auto"/>
                    <w:jc w:val="center"/>
                    <w:rPr>
                      <w:rFonts w:hint="default" w:ascii="Times New Roman" w:hAnsi="Times New Roman" w:cs="Times New Roman"/>
                      <w:b w:val="0"/>
                      <w:bCs w:val="0"/>
                      <w:color w:val="auto"/>
                      <w:kern w:val="2"/>
                      <w:sz w:val="21"/>
                      <w:szCs w:val="21"/>
                      <w:lang w:val="en-US" w:eastAsia="zh-CN" w:bidi="ar-SA"/>
                    </w:rPr>
                  </w:pPr>
                  <w:r>
                    <w:rPr>
                      <w:rFonts w:hint="default" w:ascii="Times New Roman" w:hAnsi="Times New Roman" w:cs="Times New Roman"/>
                      <w:b w:val="0"/>
                      <w:bCs w:val="0"/>
                      <w:color w:val="auto"/>
                      <w:sz w:val="21"/>
                      <w:szCs w:val="21"/>
                      <w:lang w:eastAsia="zh-CN"/>
                    </w:rPr>
                    <w:t>综合大气采样器</w:t>
                  </w:r>
                </w:p>
              </w:tc>
              <w:tc>
                <w:tcPr>
                  <w:tcW w:w="2746" w:type="dxa"/>
                  <w:tcBorders>
                    <w:tl2br w:val="nil"/>
                    <w:tr2bl w:val="nil"/>
                  </w:tcBorders>
                  <w:noWrap w:val="0"/>
                  <w:vAlign w:val="center"/>
                </w:tcPr>
                <w:p w14:paraId="793B69D2">
                  <w:pPr>
                    <w:spacing w:line="360" w:lineRule="auto"/>
                    <w:jc w:val="center"/>
                    <w:rPr>
                      <w:rFonts w:hint="default" w:ascii="Times New Roman" w:hAnsi="Times New Roman" w:cs="Times New Roman"/>
                      <w:b w:val="0"/>
                      <w:bCs w:val="0"/>
                      <w:color w:val="auto"/>
                      <w:kern w:val="2"/>
                      <w:sz w:val="21"/>
                      <w:szCs w:val="21"/>
                      <w:lang w:val="en-US" w:eastAsia="zh-CN" w:bidi="ar-SA"/>
                    </w:rPr>
                  </w:pPr>
                  <w:r>
                    <w:rPr>
                      <w:rFonts w:hint="default" w:ascii="Times New Roman" w:hAnsi="Times New Roman" w:cs="Times New Roman"/>
                      <w:b w:val="0"/>
                      <w:bCs w:val="0"/>
                      <w:color w:val="auto"/>
                      <w:sz w:val="21"/>
                      <w:szCs w:val="21"/>
                      <w:lang w:eastAsia="zh-CN"/>
                    </w:rPr>
                    <w:t>KB-6120</w:t>
                  </w:r>
                </w:p>
              </w:tc>
              <w:tc>
                <w:tcPr>
                  <w:tcW w:w="2813" w:type="dxa"/>
                  <w:tcBorders>
                    <w:tl2br w:val="nil"/>
                    <w:tr2bl w:val="nil"/>
                  </w:tcBorders>
                  <w:noWrap w:val="0"/>
                  <w:vAlign w:val="center"/>
                </w:tcPr>
                <w:p w14:paraId="35B1F9FD">
                  <w:pPr>
                    <w:spacing w:line="360" w:lineRule="auto"/>
                    <w:jc w:val="center"/>
                    <w:rPr>
                      <w:rFonts w:hint="default" w:ascii="Times New Roman" w:hAnsi="Times New Roman" w:cs="Times New Roman"/>
                      <w:b w:val="0"/>
                      <w:bCs w:val="0"/>
                      <w:color w:val="auto"/>
                      <w:kern w:val="2"/>
                      <w:sz w:val="21"/>
                      <w:szCs w:val="21"/>
                      <w:lang w:val="en-US" w:eastAsia="zh-CN" w:bidi="ar-SA"/>
                    </w:rPr>
                  </w:pPr>
                  <w:r>
                    <w:rPr>
                      <w:rFonts w:hint="eastAsia" w:ascii="Times New Roman" w:hAnsi="Times New Roman" w:cs="Times New Roman"/>
                      <w:b w:val="0"/>
                      <w:bCs w:val="0"/>
                      <w:color w:val="auto"/>
                      <w:sz w:val="21"/>
                      <w:szCs w:val="21"/>
                      <w:lang w:val="en-US" w:eastAsia="zh-CN"/>
                    </w:rPr>
                    <w:t>YQ-060</w:t>
                  </w:r>
                </w:p>
              </w:tc>
            </w:tr>
            <w:tr w14:paraId="2DDED5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46" w:type="dxa"/>
                  <w:tcBorders>
                    <w:tl2br w:val="nil"/>
                    <w:tr2bl w:val="nil"/>
                  </w:tcBorders>
                  <w:noWrap w:val="0"/>
                  <w:vAlign w:val="center"/>
                </w:tcPr>
                <w:p w14:paraId="3A8111BF">
                  <w:pPr>
                    <w:keepNext w:val="0"/>
                    <w:keepLines w:val="0"/>
                    <w:widowControl/>
                    <w:suppressLineNumbers w:val="0"/>
                    <w:jc w:val="center"/>
                    <w:rPr>
                      <w:rFonts w:hint="eastAsia" w:ascii="Times New Roman" w:hAnsi="Times New Roman" w:eastAsia="宋体" w:cs="Times New Roman"/>
                      <w:i w:val="0"/>
                      <w:color w:val="auto"/>
                      <w:kern w:val="2"/>
                      <w:sz w:val="21"/>
                      <w:szCs w:val="21"/>
                      <w:u w:val="none"/>
                      <w:lang w:val="en-US" w:eastAsia="zh-CN" w:bidi="ar-SA"/>
                    </w:rPr>
                  </w:pPr>
                  <w:r>
                    <w:rPr>
                      <w:rFonts w:hint="default" w:ascii="Times New Roman" w:hAnsi="Times New Roman" w:eastAsia="宋体" w:cs="Times New Roman"/>
                      <w:i w:val="0"/>
                      <w:color w:val="auto"/>
                      <w:kern w:val="0"/>
                      <w:sz w:val="21"/>
                      <w:szCs w:val="21"/>
                      <w:u w:val="none"/>
                      <w:lang w:val="en-US" w:eastAsia="zh-CN" w:bidi="ar"/>
                    </w:rPr>
                    <w:t>岛津电子天平</w:t>
                  </w:r>
                </w:p>
              </w:tc>
              <w:tc>
                <w:tcPr>
                  <w:tcW w:w="2746" w:type="dxa"/>
                  <w:tcBorders>
                    <w:tl2br w:val="nil"/>
                    <w:tr2bl w:val="nil"/>
                  </w:tcBorders>
                  <w:noWrap w:val="0"/>
                  <w:vAlign w:val="center"/>
                </w:tcPr>
                <w:p w14:paraId="1F723790">
                  <w:pPr>
                    <w:keepNext w:val="0"/>
                    <w:keepLines w:val="0"/>
                    <w:widowControl/>
                    <w:suppressLineNumbers w:val="0"/>
                    <w:jc w:val="center"/>
                    <w:rPr>
                      <w:rFonts w:hint="default" w:ascii="Times New Roman" w:hAnsi="Times New Roman" w:eastAsia="宋体" w:cs="Times New Roman"/>
                      <w:i w:val="0"/>
                      <w:color w:val="auto"/>
                      <w:kern w:val="2"/>
                      <w:sz w:val="21"/>
                      <w:szCs w:val="21"/>
                      <w:u w:val="none"/>
                      <w:lang w:val="en-US" w:eastAsia="zh-CN" w:bidi="ar-SA"/>
                    </w:rPr>
                  </w:pPr>
                  <w:r>
                    <w:rPr>
                      <w:rFonts w:hint="default" w:ascii="Times New Roman" w:hAnsi="Times New Roman" w:eastAsia="宋体" w:cs="Times New Roman"/>
                      <w:i w:val="0"/>
                      <w:color w:val="auto"/>
                      <w:kern w:val="0"/>
                      <w:sz w:val="21"/>
                      <w:szCs w:val="21"/>
                      <w:u w:val="none"/>
                      <w:lang w:val="en-US" w:eastAsia="zh-CN" w:bidi="ar"/>
                    </w:rPr>
                    <w:t>AUW120D</w:t>
                  </w:r>
                </w:p>
              </w:tc>
              <w:tc>
                <w:tcPr>
                  <w:tcW w:w="2813" w:type="dxa"/>
                  <w:tcBorders>
                    <w:tl2br w:val="nil"/>
                    <w:tr2bl w:val="nil"/>
                  </w:tcBorders>
                  <w:noWrap w:val="0"/>
                  <w:vAlign w:val="center"/>
                </w:tcPr>
                <w:p w14:paraId="17692509">
                  <w:pPr>
                    <w:keepNext w:val="0"/>
                    <w:keepLines w:val="0"/>
                    <w:widowControl/>
                    <w:suppressLineNumbers w:val="0"/>
                    <w:jc w:val="center"/>
                    <w:rPr>
                      <w:rFonts w:hint="eastAsia" w:ascii="Times New Roman" w:hAnsi="Times New Roman" w:eastAsia="宋体" w:cs="Times New Roman"/>
                      <w:i w:val="0"/>
                      <w:color w:val="auto"/>
                      <w:kern w:val="2"/>
                      <w:sz w:val="21"/>
                      <w:szCs w:val="21"/>
                      <w:u w:val="none"/>
                      <w:lang w:val="en-US" w:eastAsia="zh-CN" w:bidi="ar-SA"/>
                    </w:rPr>
                  </w:pPr>
                  <w:r>
                    <w:rPr>
                      <w:rFonts w:hint="default" w:ascii="Times New Roman" w:hAnsi="Times New Roman" w:eastAsia="宋体" w:cs="Times New Roman"/>
                      <w:i w:val="0"/>
                      <w:color w:val="auto"/>
                      <w:kern w:val="0"/>
                      <w:sz w:val="21"/>
                      <w:szCs w:val="21"/>
                      <w:u w:val="none"/>
                      <w:lang w:val="en-US" w:eastAsia="zh-CN" w:bidi="ar"/>
                    </w:rPr>
                    <w:t>YQ-013</w:t>
                  </w:r>
                </w:p>
              </w:tc>
            </w:tr>
          </w:tbl>
          <w:p w14:paraId="3C14F5F5">
            <w:pPr>
              <w:spacing w:line="360" w:lineRule="auto"/>
              <w:ind w:firstLine="480" w:firstLineChars="200"/>
              <w:rPr>
                <w:color w:val="auto"/>
                <w:sz w:val="24"/>
              </w:rPr>
            </w:pPr>
            <w:r>
              <w:rPr>
                <w:color w:val="auto"/>
                <w:sz w:val="24"/>
              </w:rPr>
              <w:t>e、监测结果及评价</w:t>
            </w:r>
          </w:p>
          <w:p w14:paraId="44E4FBA0">
            <w:pPr>
              <w:spacing w:line="360" w:lineRule="auto"/>
              <w:ind w:firstLine="480" w:firstLineChars="200"/>
              <w:rPr>
                <w:color w:val="auto"/>
                <w:sz w:val="24"/>
              </w:rPr>
            </w:pPr>
            <w:r>
              <w:rPr>
                <w:color w:val="auto"/>
                <w:sz w:val="24"/>
              </w:rPr>
              <w:t>项目监测时期气象条件见表3-</w:t>
            </w:r>
            <w:r>
              <w:rPr>
                <w:rFonts w:hint="eastAsia"/>
                <w:color w:val="auto"/>
                <w:sz w:val="24"/>
                <w:lang w:val="en-US" w:eastAsia="zh-CN"/>
              </w:rPr>
              <w:t>4</w:t>
            </w:r>
            <w:r>
              <w:rPr>
                <w:color w:val="auto"/>
                <w:sz w:val="24"/>
              </w:rPr>
              <w:t>，监测统计结果见表3-</w:t>
            </w:r>
            <w:r>
              <w:rPr>
                <w:rFonts w:hint="eastAsia"/>
                <w:color w:val="auto"/>
                <w:sz w:val="24"/>
                <w:lang w:val="en-US" w:eastAsia="zh-CN"/>
              </w:rPr>
              <w:t>5</w:t>
            </w:r>
            <w:r>
              <w:rPr>
                <w:color w:val="auto"/>
                <w:sz w:val="24"/>
              </w:rPr>
              <w:t>。</w:t>
            </w:r>
          </w:p>
          <w:p w14:paraId="6ED487FB">
            <w:pPr>
              <w:spacing w:line="360" w:lineRule="auto"/>
              <w:jc w:val="cente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表3-</w:t>
            </w:r>
            <w:r>
              <w:rPr>
                <w:rFonts w:hint="eastAsia" w:cs="Times New Roman"/>
                <w:b/>
                <w:bCs/>
                <w:color w:val="auto"/>
                <w:szCs w:val="21"/>
                <w:lang w:val="en-US" w:eastAsia="zh-CN"/>
              </w:rPr>
              <w:t>4</w:t>
            </w:r>
            <w:r>
              <w:rPr>
                <w:rFonts w:hint="eastAsia" w:ascii="Times New Roman" w:hAnsi="Times New Roman" w:eastAsia="宋体" w:cs="Times New Roman"/>
                <w:b/>
                <w:bCs/>
                <w:color w:val="auto"/>
                <w:szCs w:val="21"/>
                <w:lang w:val="en-US" w:eastAsia="zh-CN"/>
              </w:rPr>
              <w:t xml:space="preserve">    </w:t>
            </w:r>
            <w:r>
              <w:rPr>
                <w:rFonts w:ascii="Times New Roman" w:hAnsi="Times New Roman" w:eastAsia="宋体" w:cs="Times New Roman"/>
                <w:b/>
                <w:bCs/>
                <w:color w:val="auto"/>
                <w:szCs w:val="21"/>
              </w:rPr>
              <w:t>气象参数一览表</w:t>
            </w:r>
          </w:p>
          <w:tbl>
            <w:tblPr>
              <w:tblStyle w:val="19"/>
              <w:tblW w:w="833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73"/>
              <w:gridCol w:w="1473"/>
              <w:gridCol w:w="951"/>
              <w:gridCol w:w="852"/>
              <w:gridCol w:w="846"/>
              <w:gridCol w:w="805"/>
              <w:gridCol w:w="940"/>
              <w:gridCol w:w="626"/>
              <w:gridCol w:w="669"/>
            </w:tblGrid>
            <w:tr w14:paraId="6A0F56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restart"/>
                  <w:tcBorders>
                    <w:tl2br w:val="nil"/>
                    <w:tr2bl w:val="nil"/>
                  </w:tcBorders>
                  <w:shd w:val="clear" w:color="auto" w:fill="auto"/>
                  <w:noWrap w:val="0"/>
                  <w:vAlign w:val="center"/>
                </w:tcPr>
                <w:p w14:paraId="66611713">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测定日期</w:t>
                  </w:r>
                </w:p>
              </w:tc>
              <w:tc>
                <w:tcPr>
                  <w:tcW w:w="1513" w:type="dxa"/>
                  <w:vMerge w:val="restart"/>
                  <w:tcBorders>
                    <w:tl2br w:val="nil"/>
                    <w:tr2bl w:val="nil"/>
                  </w:tcBorders>
                  <w:shd w:val="clear" w:color="auto" w:fill="auto"/>
                  <w:noWrap w:val="0"/>
                  <w:vAlign w:val="center"/>
                </w:tcPr>
                <w:p w14:paraId="273832B1">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测定时间</w:t>
                  </w:r>
                </w:p>
              </w:tc>
              <w:tc>
                <w:tcPr>
                  <w:tcW w:w="914" w:type="dxa"/>
                  <w:vMerge w:val="restart"/>
                  <w:tcBorders>
                    <w:tl2br w:val="nil"/>
                    <w:tr2bl w:val="nil"/>
                  </w:tcBorders>
                  <w:shd w:val="clear" w:color="auto" w:fill="auto"/>
                  <w:noWrap w:val="0"/>
                  <w:vAlign w:val="center"/>
                </w:tcPr>
                <w:p w14:paraId="3490F1DC">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大气压（kPa）</w:t>
                  </w:r>
                </w:p>
              </w:tc>
              <w:tc>
                <w:tcPr>
                  <w:tcW w:w="788" w:type="dxa"/>
                  <w:vMerge w:val="restart"/>
                  <w:tcBorders>
                    <w:tl2br w:val="nil"/>
                    <w:tr2bl w:val="nil"/>
                  </w:tcBorders>
                  <w:shd w:val="clear" w:color="auto" w:fill="auto"/>
                  <w:noWrap w:val="0"/>
                  <w:vAlign w:val="center"/>
                </w:tcPr>
                <w:p w14:paraId="64118480">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温度（℃）</w:t>
                  </w:r>
                </w:p>
              </w:tc>
              <w:tc>
                <w:tcPr>
                  <w:tcW w:w="776" w:type="dxa"/>
                  <w:vMerge w:val="restart"/>
                  <w:tcBorders>
                    <w:tl2br w:val="nil"/>
                    <w:tr2bl w:val="nil"/>
                  </w:tcBorders>
                  <w:shd w:val="clear" w:color="auto" w:fill="auto"/>
                  <w:noWrap w:val="0"/>
                  <w:vAlign w:val="center"/>
                </w:tcPr>
                <w:p w14:paraId="1A5D665E">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湿度（％）</w:t>
                  </w:r>
                </w:p>
              </w:tc>
              <w:tc>
                <w:tcPr>
                  <w:tcW w:w="872" w:type="dxa"/>
                  <w:vMerge w:val="restart"/>
                  <w:tcBorders>
                    <w:tl2br w:val="nil"/>
                    <w:tr2bl w:val="nil"/>
                  </w:tcBorders>
                  <w:shd w:val="clear" w:color="auto" w:fill="auto"/>
                  <w:noWrap w:val="0"/>
                  <w:vAlign w:val="center"/>
                </w:tcPr>
                <w:p w14:paraId="62B38D3D">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风向</w:t>
                  </w:r>
                </w:p>
              </w:tc>
              <w:tc>
                <w:tcPr>
                  <w:tcW w:w="924" w:type="dxa"/>
                  <w:vMerge w:val="restart"/>
                  <w:tcBorders>
                    <w:tl2br w:val="nil"/>
                    <w:tr2bl w:val="nil"/>
                  </w:tcBorders>
                  <w:shd w:val="clear" w:color="auto" w:fill="auto"/>
                  <w:noWrap w:val="0"/>
                  <w:vAlign w:val="center"/>
                </w:tcPr>
                <w:p w14:paraId="60201441">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风速（m/s）</w:t>
                  </w:r>
                </w:p>
              </w:tc>
              <w:tc>
                <w:tcPr>
                  <w:tcW w:w="661" w:type="dxa"/>
                  <w:vMerge w:val="restart"/>
                  <w:tcBorders>
                    <w:tl2br w:val="nil"/>
                    <w:tr2bl w:val="nil"/>
                  </w:tcBorders>
                  <w:shd w:val="clear" w:color="000000" w:fill="FFFFFF"/>
                  <w:noWrap w:val="0"/>
                  <w:vAlign w:val="center"/>
                </w:tcPr>
                <w:p w14:paraId="62DA776D">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总云量</w:t>
                  </w:r>
                </w:p>
              </w:tc>
              <w:tc>
                <w:tcPr>
                  <w:tcW w:w="712" w:type="dxa"/>
                  <w:vMerge w:val="restart"/>
                  <w:tcBorders>
                    <w:tl2br w:val="nil"/>
                    <w:tr2bl w:val="nil"/>
                  </w:tcBorders>
                  <w:shd w:val="clear" w:color="000000" w:fill="FFFFFF"/>
                  <w:noWrap w:val="0"/>
                  <w:vAlign w:val="center"/>
                </w:tcPr>
                <w:p w14:paraId="2CB0CC6E">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低云量</w:t>
                  </w:r>
                </w:p>
              </w:tc>
            </w:tr>
            <w:tr w14:paraId="35275C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noWrap w:val="0"/>
                  <w:vAlign w:val="center"/>
                </w:tcPr>
                <w:p w14:paraId="4F1210A4">
                  <w:pPr>
                    <w:jc w:val="center"/>
                    <w:outlineLvl w:val="0"/>
                    <w:rPr>
                      <w:rFonts w:hint="default" w:ascii="Times New Roman" w:hAnsi="Times New Roman" w:eastAsia="宋体" w:cs="Times New Roman"/>
                      <w:b w:val="0"/>
                      <w:bCs/>
                      <w:color w:val="auto"/>
                      <w:sz w:val="21"/>
                      <w:szCs w:val="21"/>
                      <w:lang w:val="en-US" w:eastAsia="zh-CN"/>
                    </w:rPr>
                  </w:pPr>
                </w:p>
              </w:tc>
              <w:tc>
                <w:tcPr>
                  <w:tcW w:w="1513" w:type="dxa"/>
                  <w:vMerge w:val="continue"/>
                  <w:tcBorders>
                    <w:tl2br w:val="nil"/>
                    <w:tr2bl w:val="nil"/>
                  </w:tcBorders>
                  <w:noWrap w:val="0"/>
                  <w:vAlign w:val="center"/>
                </w:tcPr>
                <w:p w14:paraId="448E80FC">
                  <w:pPr>
                    <w:jc w:val="center"/>
                    <w:outlineLvl w:val="0"/>
                    <w:rPr>
                      <w:rFonts w:hint="default" w:ascii="Times New Roman" w:hAnsi="Times New Roman" w:eastAsia="宋体" w:cs="Times New Roman"/>
                      <w:b w:val="0"/>
                      <w:bCs/>
                      <w:color w:val="auto"/>
                      <w:sz w:val="21"/>
                      <w:szCs w:val="21"/>
                      <w:lang w:val="en-US" w:eastAsia="zh-CN"/>
                    </w:rPr>
                  </w:pPr>
                </w:p>
              </w:tc>
              <w:tc>
                <w:tcPr>
                  <w:tcW w:w="914" w:type="dxa"/>
                  <w:vMerge w:val="continue"/>
                  <w:tcBorders>
                    <w:tl2br w:val="nil"/>
                    <w:tr2bl w:val="nil"/>
                  </w:tcBorders>
                  <w:noWrap w:val="0"/>
                  <w:vAlign w:val="center"/>
                </w:tcPr>
                <w:p w14:paraId="3E0B4E4E">
                  <w:pPr>
                    <w:jc w:val="center"/>
                    <w:outlineLvl w:val="0"/>
                    <w:rPr>
                      <w:rFonts w:hint="default" w:ascii="Times New Roman" w:hAnsi="Times New Roman" w:eastAsia="宋体" w:cs="Times New Roman"/>
                      <w:b w:val="0"/>
                      <w:bCs/>
                      <w:color w:val="auto"/>
                      <w:sz w:val="21"/>
                      <w:szCs w:val="21"/>
                      <w:lang w:val="en-US" w:eastAsia="zh-CN"/>
                    </w:rPr>
                  </w:pPr>
                </w:p>
              </w:tc>
              <w:tc>
                <w:tcPr>
                  <w:tcW w:w="788" w:type="dxa"/>
                  <w:vMerge w:val="continue"/>
                  <w:tcBorders>
                    <w:tl2br w:val="nil"/>
                    <w:tr2bl w:val="nil"/>
                  </w:tcBorders>
                  <w:noWrap w:val="0"/>
                  <w:vAlign w:val="center"/>
                </w:tcPr>
                <w:p w14:paraId="04851926">
                  <w:pPr>
                    <w:jc w:val="center"/>
                    <w:outlineLvl w:val="0"/>
                    <w:rPr>
                      <w:rFonts w:hint="default" w:ascii="Times New Roman" w:hAnsi="Times New Roman" w:eastAsia="宋体" w:cs="Times New Roman"/>
                      <w:b w:val="0"/>
                      <w:bCs/>
                      <w:color w:val="auto"/>
                      <w:sz w:val="21"/>
                      <w:szCs w:val="21"/>
                      <w:lang w:val="en-US" w:eastAsia="zh-CN"/>
                    </w:rPr>
                  </w:pPr>
                </w:p>
              </w:tc>
              <w:tc>
                <w:tcPr>
                  <w:tcW w:w="776" w:type="dxa"/>
                  <w:vMerge w:val="continue"/>
                  <w:tcBorders>
                    <w:tl2br w:val="nil"/>
                    <w:tr2bl w:val="nil"/>
                  </w:tcBorders>
                  <w:noWrap w:val="0"/>
                  <w:vAlign w:val="center"/>
                </w:tcPr>
                <w:p w14:paraId="3A74B855">
                  <w:pPr>
                    <w:jc w:val="center"/>
                    <w:outlineLvl w:val="0"/>
                    <w:rPr>
                      <w:rFonts w:hint="default" w:ascii="Times New Roman" w:hAnsi="Times New Roman" w:eastAsia="宋体" w:cs="Times New Roman"/>
                      <w:b w:val="0"/>
                      <w:bCs/>
                      <w:color w:val="auto"/>
                      <w:sz w:val="21"/>
                      <w:szCs w:val="21"/>
                      <w:lang w:val="en-US" w:eastAsia="zh-CN"/>
                    </w:rPr>
                  </w:pPr>
                </w:p>
              </w:tc>
              <w:tc>
                <w:tcPr>
                  <w:tcW w:w="872" w:type="dxa"/>
                  <w:vMerge w:val="continue"/>
                  <w:tcBorders>
                    <w:tl2br w:val="nil"/>
                    <w:tr2bl w:val="nil"/>
                  </w:tcBorders>
                  <w:noWrap w:val="0"/>
                  <w:vAlign w:val="center"/>
                </w:tcPr>
                <w:p w14:paraId="7BBDD2A6">
                  <w:pPr>
                    <w:jc w:val="center"/>
                    <w:outlineLvl w:val="0"/>
                    <w:rPr>
                      <w:rFonts w:hint="default" w:ascii="Times New Roman" w:hAnsi="Times New Roman" w:eastAsia="宋体" w:cs="Times New Roman"/>
                      <w:b w:val="0"/>
                      <w:bCs/>
                      <w:color w:val="auto"/>
                      <w:sz w:val="21"/>
                      <w:szCs w:val="21"/>
                      <w:lang w:val="en-US" w:eastAsia="zh-CN"/>
                    </w:rPr>
                  </w:pPr>
                </w:p>
              </w:tc>
              <w:tc>
                <w:tcPr>
                  <w:tcW w:w="924" w:type="dxa"/>
                  <w:vMerge w:val="continue"/>
                  <w:tcBorders>
                    <w:tl2br w:val="nil"/>
                    <w:tr2bl w:val="nil"/>
                  </w:tcBorders>
                  <w:noWrap w:val="0"/>
                  <w:vAlign w:val="center"/>
                </w:tcPr>
                <w:p w14:paraId="0C15DC7E">
                  <w:pPr>
                    <w:jc w:val="center"/>
                    <w:outlineLvl w:val="0"/>
                    <w:rPr>
                      <w:rFonts w:hint="default" w:ascii="Times New Roman" w:hAnsi="Times New Roman" w:eastAsia="宋体" w:cs="Times New Roman"/>
                      <w:b w:val="0"/>
                      <w:bCs/>
                      <w:color w:val="auto"/>
                      <w:sz w:val="21"/>
                      <w:szCs w:val="21"/>
                      <w:lang w:val="en-US" w:eastAsia="zh-CN"/>
                    </w:rPr>
                  </w:pPr>
                </w:p>
              </w:tc>
              <w:tc>
                <w:tcPr>
                  <w:tcW w:w="661" w:type="dxa"/>
                  <w:vMerge w:val="continue"/>
                  <w:tcBorders>
                    <w:tl2br w:val="nil"/>
                    <w:tr2bl w:val="nil"/>
                  </w:tcBorders>
                  <w:noWrap w:val="0"/>
                  <w:vAlign w:val="center"/>
                </w:tcPr>
                <w:p w14:paraId="032D41CB">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011F770F">
                  <w:pPr>
                    <w:jc w:val="center"/>
                    <w:outlineLvl w:val="0"/>
                    <w:rPr>
                      <w:rFonts w:hint="default" w:ascii="Times New Roman" w:hAnsi="Times New Roman" w:eastAsia="宋体" w:cs="Times New Roman"/>
                      <w:b w:val="0"/>
                      <w:bCs/>
                      <w:color w:val="auto"/>
                      <w:sz w:val="21"/>
                      <w:szCs w:val="21"/>
                      <w:lang w:val="en-US" w:eastAsia="zh-CN"/>
                    </w:rPr>
                  </w:pPr>
                </w:p>
              </w:tc>
            </w:tr>
            <w:tr w14:paraId="3670A6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restart"/>
                  <w:tcBorders>
                    <w:tl2br w:val="nil"/>
                    <w:tr2bl w:val="nil"/>
                  </w:tcBorders>
                  <w:shd w:val="clear" w:color="auto" w:fill="FFFFFF"/>
                  <w:noWrap w:val="0"/>
                  <w:vAlign w:val="center"/>
                </w:tcPr>
                <w:p w14:paraId="52B4D614">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2024.11.10</w:t>
                  </w:r>
                </w:p>
              </w:tc>
              <w:tc>
                <w:tcPr>
                  <w:tcW w:w="1513" w:type="dxa"/>
                  <w:tcBorders>
                    <w:tl2br w:val="nil"/>
                    <w:tr2bl w:val="nil"/>
                  </w:tcBorders>
                  <w:shd w:val="clear" w:color="000000" w:fill="FFFFFF"/>
                  <w:noWrap w:val="0"/>
                  <w:vAlign w:val="center"/>
                </w:tcPr>
                <w:p w14:paraId="3873A09F">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02:00-03:00</w:t>
                  </w:r>
                </w:p>
              </w:tc>
              <w:tc>
                <w:tcPr>
                  <w:tcW w:w="914" w:type="dxa"/>
                  <w:tcBorders>
                    <w:tl2br w:val="nil"/>
                    <w:tr2bl w:val="nil"/>
                  </w:tcBorders>
                  <w:shd w:val="clear" w:color="000000" w:fill="auto"/>
                  <w:noWrap w:val="0"/>
                  <w:vAlign w:val="center"/>
                </w:tcPr>
                <w:p w14:paraId="2CB1956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91.7 </w:t>
                  </w:r>
                </w:p>
              </w:tc>
              <w:tc>
                <w:tcPr>
                  <w:tcW w:w="788" w:type="dxa"/>
                  <w:tcBorders>
                    <w:tl2br w:val="nil"/>
                    <w:tr2bl w:val="nil"/>
                  </w:tcBorders>
                  <w:shd w:val="clear" w:color="000000" w:fill="auto"/>
                  <w:noWrap w:val="0"/>
                  <w:vAlign w:val="center"/>
                </w:tcPr>
                <w:p w14:paraId="4D39FB8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-14.2 </w:t>
                  </w:r>
                </w:p>
              </w:tc>
              <w:tc>
                <w:tcPr>
                  <w:tcW w:w="776" w:type="dxa"/>
                  <w:tcBorders>
                    <w:tl2br w:val="nil"/>
                    <w:tr2bl w:val="nil"/>
                  </w:tcBorders>
                  <w:shd w:val="clear" w:color="000000" w:fill="auto"/>
                  <w:noWrap w:val="0"/>
                  <w:vAlign w:val="center"/>
                </w:tcPr>
                <w:p w14:paraId="69BCC4F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58.4 </w:t>
                  </w:r>
                </w:p>
              </w:tc>
              <w:tc>
                <w:tcPr>
                  <w:tcW w:w="872" w:type="dxa"/>
                  <w:tcBorders>
                    <w:tl2br w:val="nil"/>
                    <w:tr2bl w:val="nil"/>
                  </w:tcBorders>
                  <w:shd w:val="clear" w:color="000000" w:fill="auto"/>
                  <w:noWrap w:val="0"/>
                  <w:vAlign w:val="center"/>
                </w:tcPr>
                <w:p w14:paraId="63900188">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西北</w:t>
                  </w:r>
                </w:p>
              </w:tc>
              <w:tc>
                <w:tcPr>
                  <w:tcW w:w="924" w:type="dxa"/>
                  <w:tcBorders>
                    <w:tl2br w:val="nil"/>
                    <w:tr2bl w:val="nil"/>
                  </w:tcBorders>
                  <w:shd w:val="clear" w:color="000000" w:fill="auto"/>
                  <w:noWrap w:val="0"/>
                  <w:vAlign w:val="center"/>
                </w:tcPr>
                <w:p w14:paraId="7ABD9072">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2.3 </w:t>
                  </w:r>
                </w:p>
              </w:tc>
              <w:tc>
                <w:tcPr>
                  <w:tcW w:w="661" w:type="dxa"/>
                  <w:vMerge w:val="restart"/>
                  <w:tcBorders>
                    <w:tl2br w:val="nil"/>
                    <w:tr2bl w:val="nil"/>
                  </w:tcBorders>
                  <w:noWrap w:val="0"/>
                  <w:vAlign w:val="center"/>
                </w:tcPr>
                <w:p w14:paraId="7DC2F19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w:t>
                  </w:r>
                </w:p>
              </w:tc>
              <w:tc>
                <w:tcPr>
                  <w:tcW w:w="712" w:type="dxa"/>
                  <w:vMerge w:val="restart"/>
                  <w:tcBorders>
                    <w:tl2br w:val="nil"/>
                    <w:tr2bl w:val="nil"/>
                  </w:tcBorders>
                  <w:noWrap w:val="0"/>
                  <w:vAlign w:val="center"/>
                </w:tcPr>
                <w:p w14:paraId="00B55105">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w:t>
                  </w:r>
                </w:p>
              </w:tc>
            </w:tr>
            <w:tr w14:paraId="674FED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26108416">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2EE1CE2B">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08:00-09:00</w:t>
                  </w:r>
                </w:p>
              </w:tc>
              <w:tc>
                <w:tcPr>
                  <w:tcW w:w="914" w:type="dxa"/>
                  <w:tcBorders>
                    <w:tl2br w:val="nil"/>
                    <w:tr2bl w:val="nil"/>
                  </w:tcBorders>
                  <w:shd w:val="clear" w:color="000000" w:fill="auto"/>
                  <w:noWrap w:val="0"/>
                  <w:vAlign w:val="center"/>
                </w:tcPr>
                <w:p w14:paraId="5B4C28B6">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91.8 </w:t>
                  </w:r>
                </w:p>
              </w:tc>
              <w:tc>
                <w:tcPr>
                  <w:tcW w:w="788" w:type="dxa"/>
                  <w:tcBorders>
                    <w:tl2br w:val="nil"/>
                    <w:tr2bl w:val="nil"/>
                  </w:tcBorders>
                  <w:shd w:val="clear" w:color="000000" w:fill="auto"/>
                  <w:noWrap w:val="0"/>
                  <w:vAlign w:val="center"/>
                </w:tcPr>
                <w:p w14:paraId="05C25BF4">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-10.4 </w:t>
                  </w:r>
                </w:p>
              </w:tc>
              <w:tc>
                <w:tcPr>
                  <w:tcW w:w="776" w:type="dxa"/>
                  <w:tcBorders>
                    <w:tl2br w:val="nil"/>
                    <w:tr2bl w:val="nil"/>
                  </w:tcBorders>
                  <w:shd w:val="clear" w:color="000000" w:fill="auto"/>
                  <w:noWrap w:val="0"/>
                  <w:vAlign w:val="center"/>
                </w:tcPr>
                <w:p w14:paraId="5A6170F6">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56.2 </w:t>
                  </w:r>
                </w:p>
              </w:tc>
              <w:tc>
                <w:tcPr>
                  <w:tcW w:w="872" w:type="dxa"/>
                  <w:tcBorders>
                    <w:tl2br w:val="nil"/>
                    <w:tr2bl w:val="nil"/>
                  </w:tcBorders>
                  <w:shd w:val="clear" w:color="000000" w:fill="auto"/>
                  <w:noWrap w:val="0"/>
                  <w:vAlign w:val="center"/>
                </w:tcPr>
                <w:p w14:paraId="2766FC24">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西北</w:t>
                  </w:r>
                </w:p>
              </w:tc>
              <w:tc>
                <w:tcPr>
                  <w:tcW w:w="924" w:type="dxa"/>
                  <w:tcBorders>
                    <w:tl2br w:val="nil"/>
                    <w:tr2bl w:val="nil"/>
                  </w:tcBorders>
                  <w:shd w:val="clear" w:color="000000" w:fill="auto"/>
                  <w:noWrap w:val="0"/>
                  <w:vAlign w:val="center"/>
                </w:tcPr>
                <w:p w14:paraId="05A69DA3">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661" w:type="dxa"/>
                  <w:vMerge w:val="continue"/>
                  <w:tcBorders>
                    <w:tl2br w:val="nil"/>
                    <w:tr2bl w:val="nil"/>
                  </w:tcBorders>
                  <w:noWrap w:val="0"/>
                  <w:vAlign w:val="center"/>
                </w:tcPr>
                <w:p w14:paraId="08F41E28">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6579CECA">
                  <w:pPr>
                    <w:jc w:val="center"/>
                    <w:outlineLvl w:val="0"/>
                    <w:rPr>
                      <w:rFonts w:hint="default" w:ascii="Times New Roman" w:hAnsi="Times New Roman" w:eastAsia="宋体" w:cs="Times New Roman"/>
                      <w:b w:val="0"/>
                      <w:bCs/>
                      <w:color w:val="auto"/>
                      <w:sz w:val="21"/>
                      <w:szCs w:val="21"/>
                      <w:lang w:val="en-US" w:eastAsia="zh-CN"/>
                    </w:rPr>
                  </w:pPr>
                </w:p>
              </w:tc>
            </w:tr>
            <w:tr w14:paraId="50DBC0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57035DCA">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4E46E3A8">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14:00-15:00</w:t>
                  </w:r>
                </w:p>
              </w:tc>
              <w:tc>
                <w:tcPr>
                  <w:tcW w:w="914" w:type="dxa"/>
                  <w:tcBorders>
                    <w:tl2br w:val="nil"/>
                    <w:tr2bl w:val="nil"/>
                  </w:tcBorders>
                  <w:shd w:val="clear" w:color="000000" w:fill="auto"/>
                  <w:noWrap w:val="0"/>
                  <w:vAlign w:val="center"/>
                </w:tcPr>
                <w:p w14:paraId="0860D683">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91.8 </w:t>
                  </w:r>
                </w:p>
              </w:tc>
              <w:tc>
                <w:tcPr>
                  <w:tcW w:w="788" w:type="dxa"/>
                  <w:tcBorders>
                    <w:tl2br w:val="nil"/>
                    <w:tr2bl w:val="nil"/>
                  </w:tcBorders>
                  <w:shd w:val="clear" w:color="000000" w:fill="auto"/>
                  <w:noWrap w:val="0"/>
                  <w:vAlign w:val="center"/>
                </w:tcPr>
                <w:p w14:paraId="225001E9">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776" w:type="dxa"/>
                  <w:tcBorders>
                    <w:tl2br w:val="nil"/>
                    <w:tr2bl w:val="nil"/>
                  </w:tcBorders>
                  <w:shd w:val="clear" w:color="000000" w:fill="auto"/>
                  <w:noWrap w:val="0"/>
                  <w:vAlign w:val="center"/>
                </w:tcPr>
                <w:p w14:paraId="4921716F">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46.8 </w:t>
                  </w:r>
                </w:p>
              </w:tc>
              <w:tc>
                <w:tcPr>
                  <w:tcW w:w="872" w:type="dxa"/>
                  <w:tcBorders>
                    <w:tl2br w:val="nil"/>
                    <w:tr2bl w:val="nil"/>
                  </w:tcBorders>
                  <w:shd w:val="clear" w:color="000000" w:fill="auto"/>
                  <w:noWrap w:val="0"/>
                  <w:vAlign w:val="center"/>
                </w:tcPr>
                <w:p w14:paraId="0219D204">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w:t>
                  </w:r>
                </w:p>
              </w:tc>
              <w:tc>
                <w:tcPr>
                  <w:tcW w:w="924" w:type="dxa"/>
                  <w:tcBorders>
                    <w:tl2br w:val="nil"/>
                    <w:tr2bl w:val="nil"/>
                  </w:tcBorders>
                  <w:shd w:val="clear" w:color="000000" w:fill="auto"/>
                  <w:noWrap w:val="0"/>
                  <w:vAlign w:val="center"/>
                </w:tcPr>
                <w:p w14:paraId="3B85E1A4">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661" w:type="dxa"/>
                  <w:vMerge w:val="continue"/>
                  <w:tcBorders>
                    <w:tl2br w:val="nil"/>
                    <w:tr2bl w:val="nil"/>
                  </w:tcBorders>
                  <w:noWrap w:val="0"/>
                  <w:vAlign w:val="center"/>
                </w:tcPr>
                <w:p w14:paraId="0D380FA7">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4F392A52">
                  <w:pPr>
                    <w:jc w:val="center"/>
                    <w:outlineLvl w:val="0"/>
                    <w:rPr>
                      <w:rFonts w:hint="default" w:ascii="Times New Roman" w:hAnsi="Times New Roman" w:eastAsia="宋体" w:cs="Times New Roman"/>
                      <w:b w:val="0"/>
                      <w:bCs/>
                      <w:color w:val="auto"/>
                      <w:sz w:val="21"/>
                      <w:szCs w:val="21"/>
                      <w:lang w:val="en-US" w:eastAsia="zh-CN"/>
                    </w:rPr>
                  </w:pPr>
                </w:p>
              </w:tc>
            </w:tr>
            <w:tr w14:paraId="6E44FC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767E9D7E">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1AF9570C">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20:00-21:00</w:t>
                  </w:r>
                </w:p>
              </w:tc>
              <w:tc>
                <w:tcPr>
                  <w:tcW w:w="914" w:type="dxa"/>
                  <w:tcBorders>
                    <w:tl2br w:val="nil"/>
                    <w:tr2bl w:val="nil"/>
                  </w:tcBorders>
                  <w:shd w:val="clear" w:color="000000" w:fill="auto"/>
                  <w:noWrap w:val="0"/>
                  <w:vAlign w:val="center"/>
                </w:tcPr>
                <w:p w14:paraId="1B149DC6">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91.9 </w:t>
                  </w:r>
                </w:p>
              </w:tc>
              <w:tc>
                <w:tcPr>
                  <w:tcW w:w="788" w:type="dxa"/>
                  <w:tcBorders>
                    <w:tl2br w:val="nil"/>
                    <w:tr2bl w:val="nil"/>
                  </w:tcBorders>
                  <w:shd w:val="clear" w:color="000000" w:fill="auto"/>
                  <w:noWrap w:val="0"/>
                  <w:vAlign w:val="center"/>
                </w:tcPr>
                <w:p w14:paraId="3436E750">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-8.7 </w:t>
                  </w:r>
                </w:p>
              </w:tc>
              <w:tc>
                <w:tcPr>
                  <w:tcW w:w="776" w:type="dxa"/>
                  <w:tcBorders>
                    <w:tl2br w:val="nil"/>
                    <w:tr2bl w:val="nil"/>
                  </w:tcBorders>
                  <w:shd w:val="clear" w:color="000000" w:fill="auto"/>
                  <w:noWrap w:val="0"/>
                  <w:vAlign w:val="center"/>
                </w:tcPr>
                <w:p w14:paraId="57098E97">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52.3 </w:t>
                  </w:r>
                </w:p>
              </w:tc>
              <w:tc>
                <w:tcPr>
                  <w:tcW w:w="872" w:type="dxa"/>
                  <w:tcBorders>
                    <w:tl2br w:val="nil"/>
                    <w:tr2bl w:val="nil"/>
                  </w:tcBorders>
                  <w:shd w:val="clear" w:color="000000" w:fill="auto"/>
                  <w:noWrap w:val="0"/>
                  <w:vAlign w:val="center"/>
                </w:tcPr>
                <w:p w14:paraId="0860791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西北</w:t>
                  </w:r>
                </w:p>
              </w:tc>
              <w:tc>
                <w:tcPr>
                  <w:tcW w:w="924" w:type="dxa"/>
                  <w:tcBorders>
                    <w:tl2br w:val="nil"/>
                    <w:tr2bl w:val="nil"/>
                  </w:tcBorders>
                  <w:shd w:val="clear" w:color="000000" w:fill="auto"/>
                  <w:noWrap w:val="0"/>
                  <w:vAlign w:val="center"/>
                </w:tcPr>
                <w:p w14:paraId="769AF9C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1.8 </w:t>
                  </w:r>
                </w:p>
              </w:tc>
              <w:tc>
                <w:tcPr>
                  <w:tcW w:w="661" w:type="dxa"/>
                  <w:vMerge w:val="continue"/>
                  <w:tcBorders>
                    <w:tl2br w:val="nil"/>
                    <w:tr2bl w:val="nil"/>
                  </w:tcBorders>
                  <w:noWrap w:val="0"/>
                  <w:vAlign w:val="center"/>
                </w:tcPr>
                <w:p w14:paraId="1948A290">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50295707">
                  <w:pPr>
                    <w:jc w:val="center"/>
                    <w:outlineLvl w:val="0"/>
                    <w:rPr>
                      <w:rFonts w:hint="default" w:ascii="Times New Roman" w:hAnsi="Times New Roman" w:eastAsia="宋体" w:cs="Times New Roman"/>
                      <w:b w:val="0"/>
                      <w:bCs/>
                      <w:color w:val="auto"/>
                      <w:sz w:val="21"/>
                      <w:szCs w:val="21"/>
                      <w:lang w:val="en-US" w:eastAsia="zh-CN"/>
                    </w:rPr>
                  </w:pPr>
                </w:p>
              </w:tc>
            </w:tr>
            <w:tr w14:paraId="72EA92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restart"/>
                  <w:tcBorders>
                    <w:tl2br w:val="nil"/>
                    <w:tr2bl w:val="nil"/>
                  </w:tcBorders>
                  <w:shd w:val="clear" w:color="auto" w:fill="auto"/>
                  <w:noWrap w:val="0"/>
                  <w:vAlign w:val="center"/>
                </w:tcPr>
                <w:p w14:paraId="10807E49">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2024.11.11</w:t>
                  </w:r>
                </w:p>
              </w:tc>
              <w:tc>
                <w:tcPr>
                  <w:tcW w:w="1513" w:type="dxa"/>
                  <w:tcBorders>
                    <w:tl2br w:val="nil"/>
                    <w:tr2bl w:val="nil"/>
                  </w:tcBorders>
                  <w:shd w:val="clear" w:color="000000" w:fill="FFFFFF"/>
                  <w:noWrap w:val="0"/>
                  <w:vAlign w:val="center"/>
                </w:tcPr>
                <w:p w14:paraId="10895DC0">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02:00-03:00</w:t>
                  </w:r>
                </w:p>
              </w:tc>
              <w:tc>
                <w:tcPr>
                  <w:tcW w:w="914" w:type="dxa"/>
                  <w:tcBorders>
                    <w:tl2br w:val="nil"/>
                    <w:tr2bl w:val="nil"/>
                  </w:tcBorders>
                  <w:shd w:val="clear" w:color="000000" w:fill="auto"/>
                  <w:noWrap w:val="0"/>
                  <w:vAlign w:val="center"/>
                </w:tcPr>
                <w:p w14:paraId="7D90D6D6">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92.0 </w:t>
                  </w:r>
                </w:p>
              </w:tc>
              <w:tc>
                <w:tcPr>
                  <w:tcW w:w="788" w:type="dxa"/>
                  <w:tcBorders>
                    <w:tl2br w:val="nil"/>
                    <w:tr2bl w:val="nil"/>
                  </w:tcBorders>
                  <w:shd w:val="clear" w:color="000000" w:fill="auto"/>
                  <w:noWrap w:val="0"/>
                  <w:vAlign w:val="center"/>
                </w:tcPr>
                <w:p w14:paraId="0C3BE935">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-13.8 </w:t>
                  </w:r>
                </w:p>
              </w:tc>
              <w:tc>
                <w:tcPr>
                  <w:tcW w:w="776" w:type="dxa"/>
                  <w:tcBorders>
                    <w:tl2br w:val="nil"/>
                    <w:tr2bl w:val="nil"/>
                  </w:tcBorders>
                  <w:shd w:val="clear" w:color="000000" w:fill="auto"/>
                  <w:noWrap w:val="0"/>
                  <w:vAlign w:val="center"/>
                </w:tcPr>
                <w:p w14:paraId="6D926FF9">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59.3 </w:t>
                  </w:r>
                </w:p>
              </w:tc>
              <w:tc>
                <w:tcPr>
                  <w:tcW w:w="872" w:type="dxa"/>
                  <w:tcBorders>
                    <w:tl2br w:val="nil"/>
                    <w:tr2bl w:val="nil"/>
                  </w:tcBorders>
                  <w:shd w:val="clear" w:color="000000" w:fill="auto"/>
                  <w:noWrap w:val="0"/>
                  <w:vAlign w:val="center"/>
                </w:tcPr>
                <w:p w14:paraId="4B7CC43E">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东</w:t>
                  </w:r>
                </w:p>
              </w:tc>
              <w:tc>
                <w:tcPr>
                  <w:tcW w:w="924" w:type="dxa"/>
                  <w:tcBorders>
                    <w:tl2br w:val="nil"/>
                    <w:tr2bl w:val="nil"/>
                  </w:tcBorders>
                  <w:shd w:val="clear" w:color="000000" w:fill="auto"/>
                  <w:noWrap w:val="0"/>
                  <w:vAlign w:val="center"/>
                </w:tcPr>
                <w:p w14:paraId="0F255680">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3.3 </w:t>
                  </w:r>
                </w:p>
              </w:tc>
              <w:tc>
                <w:tcPr>
                  <w:tcW w:w="661" w:type="dxa"/>
                  <w:vMerge w:val="restart"/>
                  <w:tcBorders>
                    <w:tl2br w:val="nil"/>
                    <w:tr2bl w:val="nil"/>
                  </w:tcBorders>
                  <w:noWrap w:val="0"/>
                  <w:vAlign w:val="center"/>
                </w:tcPr>
                <w:p w14:paraId="399A4908">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w:t>
                  </w:r>
                </w:p>
              </w:tc>
              <w:tc>
                <w:tcPr>
                  <w:tcW w:w="712" w:type="dxa"/>
                  <w:vMerge w:val="restart"/>
                  <w:tcBorders>
                    <w:tl2br w:val="nil"/>
                    <w:tr2bl w:val="nil"/>
                  </w:tcBorders>
                  <w:noWrap w:val="0"/>
                  <w:vAlign w:val="center"/>
                </w:tcPr>
                <w:p w14:paraId="65047B25">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3</w:t>
                  </w:r>
                </w:p>
              </w:tc>
            </w:tr>
            <w:tr w14:paraId="281DED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507B296A">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4A95E872">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08:00-09:00</w:t>
                  </w:r>
                </w:p>
              </w:tc>
              <w:tc>
                <w:tcPr>
                  <w:tcW w:w="914" w:type="dxa"/>
                  <w:tcBorders>
                    <w:tl2br w:val="nil"/>
                    <w:tr2bl w:val="nil"/>
                  </w:tcBorders>
                  <w:shd w:val="clear" w:color="000000" w:fill="auto"/>
                  <w:noWrap w:val="0"/>
                  <w:vAlign w:val="center"/>
                </w:tcPr>
                <w:p w14:paraId="08150328">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92.1 </w:t>
                  </w:r>
                </w:p>
              </w:tc>
              <w:tc>
                <w:tcPr>
                  <w:tcW w:w="788" w:type="dxa"/>
                  <w:tcBorders>
                    <w:tl2br w:val="nil"/>
                    <w:tr2bl w:val="nil"/>
                  </w:tcBorders>
                  <w:shd w:val="clear" w:color="000000" w:fill="auto"/>
                  <w:noWrap w:val="0"/>
                  <w:vAlign w:val="center"/>
                </w:tcPr>
                <w:p w14:paraId="53E10EE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-9.8 </w:t>
                  </w:r>
                </w:p>
              </w:tc>
              <w:tc>
                <w:tcPr>
                  <w:tcW w:w="776" w:type="dxa"/>
                  <w:tcBorders>
                    <w:tl2br w:val="nil"/>
                    <w:tr2bl w:val="nil"/>
                  </w:tcBorders>
                  <w:shd w:val="clear" w:color="000000" w:fill="auto"/>
                  <w:noWrap w:val="0"/>
                  <w:vAlign w:val="center"/>
                </w:tcPr>
                <w:p w14:paraId="53BDA6C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55.2 </w:t>
                  </w:r>
                </w:p>
              </w:tc>
              <w:tc>
                <w:tcPr>
                  <w:tcW w:w="872" w:type="dxa"/>
                  <w:tcBorders>
                    <w:tl2br w:val="nil"/>
                    <w:tr2bl w:val="nil"/>
                  </w:tcBorders>
                  <w:shd w:val="clear" w:color="000000" w:fill="auto"/>
                  <w:noWrap w:val="0"/>
                  <w:vAlign w:val="center"/>
                </w:tcPr>
                <w:p w14:paraId="2C47FB4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北</w:t>
                  </w:r>
                </w:p>
              </w:tc>
              <w:tc>
                <w:tcPr>
                  <w:tcW w:w="924" w:type="dxa"/>
                  <w:tcBorders>
                    <w:tl2br w:val="nil"/>
                    <w:tr2bl w:val="nil"/>
                  </w:tcBorders>
                  <w:shd w:val="clear" w:color="000000" w:fill="auto"/>
                  <w:noWrap w:val="0"/>
                  <w:vAlign w:val="center"/>
                </w:tcPr>
                <w:p w14:paraId="72F154BE">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3.5 </w:t>
                  </w:r>
                </w:p>
              </w:tc>
              <w:tc>
                <w:tcPr>
                  <w:tcW w:w="661" w:type="dxa"/>
                  <w:vMerge w:val="continue"/>
                  <w:tcBorders>
                    <w:tl2br w:val="nil"/>
                    <w:tr2bl w:val="nil"/>
                  </w:tcBorders>
                  <w:noWrap w:val="0"/>
                  <w:vAlign w:val="center"/>
                </w:tcPr>
                <w:p w14:paraId="0CA84C30">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776EB01D">
                  <w:pPr>
                    <w:jc w:val="center"/>
                    <w:outlineLvl w:val="0"/>
                    <w:rPr>
                      <w:rFonts w:hint="default" w:ascii="Times New Roman" w:hAnsi="Times New Roman" w:eastAsia="宋体" w:cs="Times New Roman"/>
                      <w:b w:val="0"/>
                      <w:bCs/>
                      <w:color w:val="auto"/>
                      <w:sz w:val="21"/>
                      <w:szCs w:val="21"/>
                      <w:lang w:val="en-US" w:eastAsia="zh-CN"/>
                    </w:rPr>
                  </w:pPr>
                </w:p>
              </w:tc>
            </w:tr>
            <w:tr w14:paraId="498056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74" w:hRule="atLeast"/>
                <w:jc w:val="center"/>
              </w:trPr>
              <w:tc>
                <w:tcPr>
                  <w:tcW w:w="1175" w:type="dxa"/>
                  <w:vMerge w:val="continue"/>
                  <w:tcBorders>
                    <w:tl2br w:val="nil"/>
                    <w:tr2bl w:val="nil"/>
                  </w:tcBorders>
                  <w:shd w:val="clear" w:color="auto" w:fill="auto"/>
                  <w:noWrap w:val="0"/>
                  <w:vAlign w:val="center"/>
                </w:tcPr>
                <w:p w14:paraId="27F5FAEC">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6CE329E2">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14:00-15:00</w:t>
                  </w:r>
                </w:p>
              </w:tc>
              <w:tc>
                <w:tcPr>
                  <w:tcW w:w="914" w:type="dxa"/>
                  <w:tcBorders>
                    <w:tl2br w:val="nil"/>
                    <w:tr2bl w:val="nil"/>
                  </w:tcBorders>
                  <w:shd w:val="clear" w:color="000000" w:fill="auto"/>
                  <w:noWrap w:val="0"/>
                  <w:vAlign w:val="center"/>
                </w:tcPr>
                <w:p w14:paraId="3BD3DD7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92.2 </w:t>
                  </w:r>
                </w:p>
              </w:tc>
              <w:tc>
                <w:tcPr>
                  <w:tcW w:w="788" w:type="dxa"/>
                  <w:tcBorders>
                    <w:tl2br w:val="nil"/>
                    <w:tr2bl w:val="nil"/>
                  </w:tcBorders>
                  <w:shd w:val="clear" w:color="000000" w:fill="auto"/>
                  <w:noWrap w:val="0"/>
                  <w:vAlign w:val="center"/>
                </w:tcPr>
                <w:p w14:paraId="7DD817DE">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-2.2 </w:t>
                  </w:r>
                </w:p>
              </w:tc>
              <w:tc>
                <w:tcPr>
                  <w:tcW w:w="776" w:type="dxa"/>
                  <w:tcBorders>
                    <w:tl2br w:val="nil"/>
                    <w:tr2bl w:val="nil"/>
                  </w:tcBorders>
                  <w:shd w:val="clear" w:color="000000" w:fill="auto"/>
                  <w:noWrap w:val="0"/>
                  <w:vAlign w:val="center"/>
                </w:tcPr>
                <w:p w14:paraId="5971B8F6">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50.1 </w:t>
                  </w:r>
                </w:p>
              </w:tc>
              <w:tc>
                <w:tcPr>
                  <w:tcW w:w="872" w:type="dxa"/>
                  <w:tcBorders>
                    <w:tl2br w:val="nil"/>
                    <w:tr2bl w:val="nil"/>
                  </w:tcBorders>
                  <w:shd w:val="clear" w:color="000000" w:fill="auto"/>
                  <w:noWrap w:val="0"/>
                  <w:vAlign w:val="center"/>
                </w:tcPr>
                <w:p w14:paraId="297CDB7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西北</w:t>
                  </w:r>
                </w:p>
              </w:tc>
              <w:tc>
                <w:tcPr>
                  <w:tcW w:w="924" w:type="dxa"/>
                  <w:tcBorders>
                    <w:tl2br w:val="nil"/>
                    <w:tr2bl w:val="nil"/>
                  </w:tcBorders>
                  <w:shd w:val="clear" w:color="000000" w:fill="auto"/>
                  <w:noWrap w:val="0"/>
                  <w:vAlign w:val="center"/>
                </w:tcPr>
                <w:p w14:paraId="643DA6B0">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661" w:type="dxa"/>
                  <w:vMerge w:val="continue"/>
                  <w:tcBorders>
                    <w:tl2br w:val="nil"/>
                    <w:tr2bl w:val="nil"/>
                  </w:tcBorders>
                  <w:noWrap w:val="0"/>
                  <w:vAlign w:val="center"/>
                </w:tcPr>
                <w:p w14:paraId="30C85A32">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359947E1">
                  <w:pPr>
                    <w:jc w:val="center"/>
                    <w:outlineLvl w:val="0"/>
                    <w:rPr>
                      <w:rFonts w:hint="default" w:ascii="Times New Roman" w:hAnsi="Times New Roman" w:eastAsia="宋体" w:cs="Times New Roman"/>
                      <w:b w:val="0"/>
                      <w:bCs/>
                      <w:color w:val="auto"/>
                      <w:sz w:val="21"/>
                      <w:szCs w:val="21"/>
                      <w:lang w:val="en-US" w:eastAsia="zh-CN"/>
                    </w:rPr>
                  </w:pPr>
                </w:p>
              </w:tc>
            </w:tr>
            <w:tr w14:paraId="7241A3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3A4E7331">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71B70D93">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20:00-21:00</w:t>
                  </w:r>
                </w:p>
              </w:tc>
              <w:tc>
                <w:tcPr>
                  <w:tcW w:w="914" w:type="dxa"/>
                  <w:tcBorders>
                    <w:tl2br w:val="nil"/>
                    <w:tr2bl w:val="nil"/>
                  </w:tcBorders>
                  <w:shd w:val="clear" w:color="000000" w:fill="auto"/>
                  <w:noWrap w:val="0"/>
                  <w:vAlign w:val="center"/>
                </w:tcPr>
                <w:p w14:paraId="0FEAE85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92.5 </w:t>
                  </w:r>
                </w:p>
              </w:tc>
              <w:tc>
                <w:tcPr>
                  <w:tcW w:w="788" w:type="dxa"/>
                  <w:tcBorders>
                    <w:tl2br w:val="nil"/>
                    <w:tr2bl w:val="nil"/>
                  </w:tcBorders>
                  <w:shd w:val="clear" w:color="000000" w:fill="auto"/>
                  <w:noWrap w:val="0"/>
                  <w:vAlign w:val="center"/>
                </w:tcPr>
                <w:p w14:paraId="6AF2331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-7.9 </w:t>
                  </w:r>
                </w:p>
              </w:tc>
              <w:tc>
                <w:tcPr>
                  <w:tcW w:w="776" w:type="dxa"/>
                  <w:tcBorders>
                    <w:tl2br w:val="nil"/>
                    <w:tr2bl w:val="nil"/>
                  </w:tcBorders>
                  <w:shd w:val="clear" w:color="000000" w:fill="auto"/>
                  <w:noWrap w:val="0"/>
                  <w:vAlign w:val="center"/>
                </w:tcPr>
                <w:p w14:paraId="101EB06C">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56.2 </w:t>
                  </w:r>
                </w:p>
              </w:tc>
              <w:tc>
                <w:tcPr>
                  <w:tcW w:w="872" w:type="dxa"/>
                  <w:tcBorders>
                    <w:tl2br w:val="nil"/>
                    <w:tr2bl w:val="nil"/>
                  </w:tcBorders>
                  <w:shd w:val="clear" w:color="000000" w:fill="auto"/>
                  <w:noWrap w:val="0"/>
                  <w:vAlign w:val="center"/>
                </w:tcPr>
                <w:p w14:paraId="301D3083">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西北</w:t>
                  </w:r>
                </w:p>
              </w:tc>
              <w:tc>
                <w:tcPr>
                  <w:tcW w:w="924" w:type="dxa"/>
                  <w:tcBorders>
                    <w:tl2br w:val="nil"/>
                    <w:tr2bl w:val="nil"/>
                  </w:tcBorders>
                  <w:shd w:val="clear" w:color="000000" w:fill="auto"/>
                  <w:noWrap w:val="0"/>
                  <w:vAlign w:val="center"/>
                </w:tcPr>
                <w:p w14:paraId="5A56567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2.1 </w:t>
                  </w:r>
                </w:p>
              </w:tc>
              <w:tc>
                <w:tcPr>
                  <w:tcW w:w="661" w:type="dxa"/>
                  <w:vMerge w:val="continue"/>
                  <w:tcBorders>
                    <w:tl2br w:val="nil"/>
                    <w:tr2bl w:val="nil"/>
                  </w:tcBorders>
                  <w:noWrap w:val="0"/>
                  <w:vAlign w:val="center"/>
                </w:tcPr>
                <w:p w14:paraId="05C7E8B1">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22F1FA71">
                  <w:pPr>
                    <w:jc w:val="center"/>
                    <w:outlineLvl w:val="0"/>
                    <w:rPr>
                      <w:rFonts w:hint="default" w:ascii="Times New Roman" w:hAnsi="Times New Roman" w:eastAsia="宋体" w:cs="Times New Roman"/>
                      <w:b w:val="0"/>
                      <w:bCs/>
                      <w:color w:val="auto"/>
                      <w:sz w:val="21"/>
                      <w:szCs w:val="21"/>
                      <w:lang w:val="en-US" w:eastAsia="zh-CN"/>
                    </w:rPr>
                  </w:pPr>
                </w:p>
              </w:tc>
            </w:tr>
            <w:tr w14:paraId="3202CB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restart"/>
                  <w:tcBorders>
                    <w:tl2br w:val="nil"/>
                    <w:tr2bl w:val="nil"/>
                  </w:tcBorders>
                  <w:shd w:val="clear" w:color="auto" w:fill="auto"/>
                  <w:noWrap w:val="0"/>
                  <w:vAlign w:val="center"/>
                </w:tcPr>
                <w:p w14:paraId="2E9213F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2024.11.12</w:t>
                  </w:r>
                </w:p>
              </w:tc>
              <w:tc>
                <w:tcPr>
                  <w:tcW w:w="1513" w:type="dxa"/>
                  <w:tcBorders>
                    <w:tl2br w:val="nil"/>
                    <w:tr2bl w:val="nil"/>
                  </w:tcBorders>
                  <w:shd w:val="clear" w:color="000000" w:fill="FFFFFF"/>
                  <w:noWrap w:val="0"/>
                  <w:vAlign w:val="center"/>
                </w:tcPr>
                <w:p w14:paraId="305FE1C4">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02:00-03:00</w:t>
                  </w:r>
                </w:p>
              </w:tc>
              <w:tc>
                <w:tcPr>
                  <w:tcW w:w="914" w:type="dxa"/>
                  <w:tcBorders>
                    <w:tl2br w:val="nil"/>
                    <w:tr2bl w:val="nil"/>
                  </w:tcBorders>
                  <w:shd w:val="clear" w:color="000000" w:fill="auto"/>
                  <w:noWrap w:val="0"/>
                  <w:vAlign w:val="center"/>
                </w:tcPr>
                <w:p w14:paraId="377E8209">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92.4 </w:t>
                  </w:r>
                </w:p>
              </w:tc>
              <w:tc>
                <w:tcPr>
                  <w:tcW w:w="788" w:type="dxa"/>
                  <w:tcBorders>
                    <w:tl2br w:val="nil"/>
                    <w:tr2bl w:val="nil"/>
                  </w:tcBorders>
                  <w:shd w:val="clear" w:color="000000" w:fill="auto"/>
                  <w:noWrap w:val="0"/>
                  <w:vAlign w:val="center"/>
                </w:tcPr>
                <w:p w14:paraId="7B4FB0EF">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-15.2 </w:t>
                  </w:r>
                </w:p>
              </w:tc>
              <w:tc>
                <w:tcPr>
                  <w:tcW w:w="776" w:type="dxa"/>
                  <w:tcBorders>
                    <w:tl2br w:val="nil"/>
                    <w:tr2bl w:val="nil"/>
                  </w:tcBorders>
                  <w:shd w:val="clear" w:color="000000" w:fill="auto"/>
                  <w:noWrap w:val="0"/>
                  <w:vAlign w:val="center"/>
                </w:tcPr>
                <w:p w14:paraId="14121AD1">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58.6 </w:t>
                  </w:r>
                </w:p>
              </w:tc>
              <w:tc>
                <w:tcPr>
                  <w:tcW w:w="872" w:type="dxa"/>
                  <w:tcBorders>
                    <w:tl2br w:val="nil"/>
                    <w:tr2bl w:val="nil"/>
                  </w:tcBorders>
                  <w:shd w:val="clear" w:color="000000" w:fill="auto"/>
                  <w:noWrap w:val="0"/>
                  <w:vAlign w:val="center"/>
                </w:tcPr>
                <w:p w14:paraId="1F96560F">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南</w:t>
                  </w:r>
                </w:p>
              </w:tc>
              <w:tc>
                <w:tcPr>
                  <w:tcW w:w="924" w:type="dxa"/>
                  <w:tcBorders>
                    <w:tl2br w:val="nil"/>
                    <w:tr2bl w:val="nil"/>
                  </w:tcBorders>
                  <w:shd w:val="clear" w:color="000000" w:fill="auto"/>
                  <w:noWrap w:val="0"/>
                  <w:vAlign w:val="center"/>
                </w:tcPr>
                <w:p w14:paraId="49ACA2A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3.8 </w:t>
                  </w:r>
                </w:p>
              </w:tc>
              <w:tc>
                <w:tcPr>
                  <w:tcW w:w="661" w:type="dxa"/>
                  <w:vMerge w:val="restart"/>
                  <w:tcBorders>
                    <w:tl2br w:val="nil"/>
                    <w:tr2bl w:val="nil"/>
                  </w:tcBorders>
                  <w:noWrap w:val="0"/>
                  <w:vAlign w:val="center"/>
                </w:tcPr>
                <w:p w14:paraId="0F67A5D9">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w:t>
                  </w:r>
                </w:p>
              </w:tc>
              <w:tc>
                <w:tcPr>
                  <w:tcW w:w="712" w:type="dxa"/>
                  <w:vMerge w:val="restart"/>
                  <w:tcBorders>
                    <w:tl2br w:val="nil"/>
                    <w:tr2bl w:val="nil"/>
                  </w:tcBorders>
                  <w:noWrap w:val="0"/>
                  <w:vAlign w:val="center"/>
                </w:tcPr>
                <w:p w14:paraId="3BF1D763">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w:t>
                  </w:r>
                </w:p>
              </w:tc>
            </w:tr>
            <w:tr w14:paraId="6B66F8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58304097">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0690063D">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08:00-09:00</w:t>
                  </w:r>
                </w:p>
              </w:tc>
              <w:tc>
                <w:tcPr>
                  <w:tcW w:w="914" w:type="dxa"/>
                  <w:tcBorders>
                    <w:tl2br w:val="nil"/>
                    <w:tr2bl w:val="nil"/>
                  </w:tcBorders>
                  <w:shd w:val="clear" w:color="000000" w:fill="auto"/>
                  <w:noWrap w:val="0"/>
                  <w:vAlign w:val="center"/>
                </w:tcPr>
                <w:p w14:paraId="6A52BD00">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92.6 </w:t>
                  </w:r>
                </w:p>
              </w:tc>
              <w:tc>
                <w:tcPr>
                  <w:tcW w:w="788" w:type="dxa"/>
                  <w:tcBorders>
                    <w:tl2br w:val="nil"/>
                    <w:tr2bl w:val="nil"/>
                  </w:tcBorders>
                  <w:shd w:val="clear" w:color="000000" w:fill="auto"/>
                  <w:noWrap w:val="0"/>
                  <w:vAlign w:val="center"/>
                </w:tcPr>
                <w:p w14:paraId="448C530E">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-12.1 </w:t>
                  </w:r>
                </w:p>
              </w:tc>
              <w:tc>
                <w:tcPr>
                  <w:tcW w:w="776" w:type="dxa"/>
                  <w:tcBorders>
                    <w:tl2br w:val="nil"/>
                    <w:tr2bl w:val="nil"/>
                  </w:tcBorders>
                  <w:shd w:val="clear" w:color="000000" w:fill="auto"/>
                  <w:noWrap w:val="0"/>
                  <w:vAlign w:val="center"/>
                </w:tcPr>
                <w:p w14:paraId="50A3690E">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52.8 </w:t>
                  </w:r>
                </w:p>
              </w:tc>
              <w:tc>
                <w:tcPr>
                  <w:tcW w:w="872" w:type="dxa"/>
                  <w:tcBorders>
                    <w:tl2br w:val="nil"/>
                    <w:tr2bl w:val="nil"/>
                  </w:tcBorders>
                  <w:shd w:val="clear" w:color="000000" w:fill="auto"/>
                  <w:noWrap w:val="0"/>
                  <w:vAlign w:val="center"/>
                </w:tcPr>
                <w:p w14:paraId="1B65E7BC">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924" w:type="dxa"/>
                  <w:tcBorders>
                    <w:tl2br w:val="nil"/>
                    <w:tr2bl w:val="nil"/>
                  </w:tcBorders>
                  <w:shd w:val="clear" w:color="000000" w:fill="auto"/>
                  <w:noWrap w:val="0"/>
                  <w:vAlign w:val="center"/>
                </w:tcPr>
                <w:p w14:paraId="1E16FB2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661" w:type="dxa"/>
                  <w:vMerge w:val="continue"/>
                  <w:tcBorders>
                    <w:tl2br w:val="nil"/>
                    <w:tr2bl w:val="nil"/>
                  </w:tcBorders>
                  <w:noWrap w:val="0"/>
                  <w:vAlign w:val="center"/>
                </w:tcPr>
                <w:p w14:paraId="0EDA2DFD">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5CBDC1A6">
                  <w:pPr>
                    <w:jc w:val="center"/>
                    <w:outlineLvl w:val="0"/>
                    <w:rPr>
                      <w:rFonts w:hint="default" w:ascii="Times New Roman" w:hAnsi="Times New Roman" w:eastAsia="宋体" w:cs="Times New Roman"/>
                      <w:b w:val="0"/>
                      <w:bCs/>
                      <w:color w:val="auto"/>
                      <w:sz w:val="21"/>
                      <w:szCs w:val="21"/>
                      <w:lang w:val="en-US" w:eastAsia="zh-CN"/>
                    </w:rPr>
                  </w:pPr>
                </w:p>
              </w:tc>
            </w:tr>
            <w:tr w14:paraId="6E4D4D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74" w:hRule="atLeast"/>
                <w:jc w:val="center"/>
              </w:trPr>
              <w:tc>
                <w:tcPr>
                  <w:tcW w:w="1175" w:type="dxa"/>
                  <w:vMerge w:val="continue"/>
                  <w:tcBorders>
                    <w:tl2br w:val="nil"/>
                    <w:tr2bl w:val="nil"/>
                  </w:tcBorders>
                  <w:shd w:val="clear" w:color="auto" w:fill="auto"/>
                  <w:noWrap w:val="0"/>
                  <w:vAlign w:val="center"/>
                </w:tcPr>
                <w:p w14:paraId="1118CF5B">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54AA3247">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14:00-15:00</w:t>
                  </w:r>
                </w:p>
              </w:tc>
              <w:tc>
                <w:tcPr>
                  <w:tcW w:w="914" w:type="dxa"/>
                  <w:tcBorders>
                    <w:tl2br w:val="nil"/>
                    <w:tr2bl w:val="nil"/>
                  </w:tcBorders>
                  <w:shd w:val="clear" w:color="000000" w:fill="auto"/>
                  <w:noWrap w:val="0"/>
                  <w:vAlign w:val="center"/>
                </w:tcPr>
                <w:p w14:paraId="138AAAE9">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92.6 </w:t>
                  </w:r>
                </w:p>
              </w:tc>
              <w:tc>
                <w:tcPr>
                  <w:tcW w:w="788" w:type="dxa"/>
                  <w:tcBorders>
                    <w:tl2br w:val="nil"/>
                    <w:tr2bl w:val="nil"/>
                  </w:tcBorders>
                  <w:shd w:val="clear" w:color="000000" w:fill="auto"/>
                  <w:noWrap w:val="0"/>
                  <w:vAlign w:val="center"/>
                </w:tcPr>
                <w:p w14:paraId="592CE424">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776" w:type="dxa"/>
                  <w:tcBorders>
                    <w:tl2br w:val="nil"/>
                    <w:tr2bl w:val="nil"/>
                  </w:tcBorders>
                  <w:shd w:val="clear" w:color="000000" w:fill="auto"/>
                  <w:noWrap w:val="0"/>
                  <w:vAlign w:val="center"/>
                </w:tcPr>
                <w:p w14:paraId="2E662F6D">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47.2 </w:t>
                  </w:r>
                </w:p>
              </w:tc>
              <w:tc>
                <w:tcPr>
                  <w:tcW w:w="872" w:type="dxa"/>
                  <w:tcBorders>
                    <w:tl2br w:val="nil"/>
                    <w:tr2bl w:val="nil"/>
                  </w:tcBorders>
                  <w:shd w:val="clear" w:color="000000" w:fill="auto"/>
                  <w:noWrap w:val="0"/>
                  <w:vAlign w:val="center"/>
                </w:tcPr>
                <w:p w14:paraId="4B512DE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西北</w:t>
                  </w:r>
                </w:p>
              </w:tc>
              <w:tc>
                <w:tcPr>
                  <w:tcW w:w="924" w:type="dxa"/>
                  <w:tcBorders>
                    <w:tl2br w:val="nil"/>
                    <w:tr2bl w:val="nil"/>
                  </w:tcBorders>
                  <w:shd w:val="clear" w:color="000000" w:fill="auto"/>
                  <w:noWrap w:val="0"/>
                  <w:vAlign w:val="center"/>
                </w:tcPr>
                <w:p w14:paraId="2F0160B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1.9 </w:t>
                  </w:r>
                </w:p>
              </w:tc>
              <w:tc>
                <w:tcPr>
                  <w:tcW w:w="661" w:type="dxa"/>
                  <w:vMerge w:val="continue"/>
                  <w:tcBorders>
                    <w:tl2br w:val="nil"/>
                    <w:tr2bl w:val="nil"/>
                  </w:tcBorders>
                  <w:noWrap w:val="0"/>
                  <w:vAlign w:val="center"/>
                </w:tcPr>
                <w:p w14:paraId="2B186222">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675CEE1C">
                  <w:pPr>
                    <w:jc w:val="center"/>
                    <w:outlineLvl w:val="0"/>
                    <w:rPr>
                      <w:rFonts w:hint="default" w:ascii="Times New Roman" w:hAnsi="Times New Roman" w:eastAsia="宋体" w:cs="Times New Roman"/>
                      <w:b w:val="0"/>
                      <w:bCs/>
                      <w:color w:val="auto"/>
                      <w:sz w:val="21"/>
                      <w:szCs w:val="21"/>
                      <w:lang w:val="en-US" w:eastAsia="zh-CN"/>
                    </w:rPr>
                  </w:pPr>
                </w:p>
              </w:tc>
            </w:tr>
            <w:tr w14:paraId="2A4314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75" w:type="dxa"/>
                  <w:vMerge w:val="continue"/>
                  <w:tcBorders>
                    <w:tl2br w:val="nil"/>
                    <w:tr2bl w:val="nil"/>
                  </w:tcBorders>
                  <w:shd w:val="clear" w:color="auto" w:fill="auto"/>
                  <w:noWrap w:val="0"/>
                  <w:vAlign w:val="center"/>
                </w:tcPr>
                <w:p w14:paraId="148B01CD">
                  <w:pPr>
                    <w:jc w:val="center"/>
                    <w:outlineLvl w:val="0"/>
                    <w:rPr>
                      <w:rFonts w:hint="default" w:ascii="Times New Roman" w:hAnsi="Times New Roman" w:eastAsia="宋体" w:cs="Times New Roman"/>
                      <w:b w:val="0"/>
                      <w:bCs/>
                      <w:color w:val="auto"/>
                      <w:sz w:val="21"/>
                      <w:szCs w:val="21"/>
                      <w:lang w:val="en-US" w:eastAsia="zh-CN"/>
                    </w:rPr>
                  </w:pPr>
                </w:p>
              </w:tc>
              <w:tc>
                <w:tcPr>
                  <w:tcW w:w="1513" w:type="dxa"/>
                  <w:tcBorders>
                    <w:tl2br w:val="nil"/>
                    <w:tr2bl w:val="nil"/>
                  </w:tcBorders>
                  <w:shd w:val="clear" w:color="000000" w:fill="FFFFFF"/>
                  <w:noWrap w:val="0"/>
                  <w:vAlign w:val="center"/>
                </w:tcPr>
                <w:p w14:paraId="3ED59F55">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20:00-21:00</w:t>
                  </w:r>
                </w:p>
              </w:tc>
              <w:tc>
                <w:tcPr>
                  <w:tcW w:w="914" w:type="dxa"/>
                  <w:tcBorders>
                    <w:tl2br w:val="nil"/>
                    <w:tr2bl w:val="nil"/>
                  </w:tcBorders>
                  <w:shd w:val="clear" w:color="000000" w:fill="auto"/>
                  <w:noWrap w:val="0"/>
                  <w:vAlign w:val="center"/>
                </w:tcPr>
                <w:p w14:paraId="6E7E267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92.4 </w:t>
                  </w:r>
                </w:p>
              </w:tc>
              <w:tc>
                <w:tcPr>
                  <w:tcW w:w="788" w:type="dxa"/>
                  <w:tcBorders>
                    <w:tl2br w:val="nil"/>
                    <w:tr2bl w:val="nil"/>
                  </w:tcBorders>
                  <w:shd w:val="clear" w:color="000000" w:fill="auto"/>
                  <w:noWrap w:val="0"/>
                  <w:vAlign w:val="center"/>
                </w:tcPr>
                <w:p w14:paraId="302B29F1">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-9.7 </w:t>
                  </w:r>
                </w:p>
              </w:tc>
              <w:tc>
                <w:tcPr>
                  <w:tcW w:w="776" w:type="dxa"/>
                  <w:tcBorders>
                    <w:tl2br w:val="nil"/>
                    <w:tr2bl w:val="nil"/>
                  </w:tcBorders>
                  <w:shd w:val="clear" w:color="000000" w:fill="auto"/>
                  <w:noWrap w:val="0"/>
                  <w:vAlign w:val="center"/>
                </w:tcPr>
                <w:p w14:paraId="2B930025">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51.7 </w:t>
                  </w:r>
                </w:p>
              </w:tc>
              <w:tc>
                <w:tcPr>
                  <w:tcW w:w="872" w:type="dxa"/>
                  <w:tcBorders>
                    <w:tl2br w:val="nil"/>
                    <w:tr2bl w:val="nil"/>
                  </w:tcBorders>
                  <w:shd w:val="clear" w:color="000000" w:fill="auto"/>
                  <w:noWrap w:val="0"/>
                  <w:vAlign w:val="center"/>
                </w:tcPr>
                <w:p w14:paraId="7178952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北</w:t>
                  </w:r>
                </w:p>
              </w:tc>
              <w:tc>
                <w:tcPr>
                  <w:tcW w:w="924" w:type="dxa"/>
                  <w:tcBorders>
                    <w:tl2br w:val="nil"/>
                    <w:tr2bl w:val="nil"/>
                  </w:tcBorders>
                  <w:shd w:val="clear" w:color="000000" w:fill="auto"/>
                  <w:noWrap w:val="0"/>
                  <w:vAlign w:val="center"/>
                </w:tcPr>
                <w:p w14:paraId="664547CA">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2.6 </w:t>
                  </w:r>
                </w:p>
              </w:tc>
              <w:tc>
                <w:tcPr>
                  <w:tcW w:w="661" w:type="dxa"/>
                  <w:vMerge w:val="continue"/>
                  <w:tcBorders>
                    <w:tl2br w:val="nil"/>
                    <w:tr2bl w:val="nil"/>
                  </w:tcBorders>
                  <w:noWrap w:val="0"/>
                  <w:vAlign w:val="center"/>
                </w:tcPr>
                <w:p w14:paraId="0F819A87">
                  <w:pPr>
                    <w:jc w:val="center"/>
                    <w:outlineLvl w:val="0"/>
                    <w:rPr>
                      <w:rFonts w:hint="default" w:ascii="Times New Roman" w:hAnsi="Times New Roman" w:eastAsia="宋体" w:cs="Times New Roman"/>
                      <w:b w:val="0"/>
                      <w:bCs/>
                      <w:color w:val="auto"/>
                      <w:sz w:val="21"/>
                      <w:szCs w:val="21"/>
                      <w:lang w:val="en-US" w:eastAsia="zh-CN"/>
                    </w:rPr>
                  </w:pPr>
                </w:p>
              </w:tc>
              <w:tc>
                <w:tcPr>
                  <w:tcW w:w="712" w:type="dxa"/>
                  <w:vMerge w:val="continue"/>
                  <w:tcBorders>
                    <w:tl2br w:val="nil"/>
                    <w:tr2bl w:val="nil"/>
                  </w:tcBorders>
                  <w:noWrap w:val="0"/>
                  <w:vAlign w:val="center"/>
                </w:tcPr>
                <w:p w14:paraId="1A86F0C8">
                  <w:pPr>
                    <w:jc w:val="center"/>
                    <w:outlineLvl w:val="0"/>
                    <w:rPr>
                      <w:rFonts w:hint="default" w:ascii="Times New Roman" w:hAnsi="Times New Roman" w:eastAsia="宋体" w:cs="Times New Roman"/>
                      <w:b w:val="0"/>
                      <w:bCs/>
                      <w:color w:val="auto"/>
                      <w:sz w:val="21"/>
                      <w:szCs w:val="21"/>
                      <w:lang w:val="en-US" w:eastAsia="zh-CN"/>
                    </w:rPr>
                  </w:pPr>
                </w:p>
              </w:tc>
            </w:tr>
          </w:tbl>
          <w:p w14:paraId="75036FE6">
            <w:pPr>
              <w:spacing w:line="360" w:lineRule="auto"/>
              <w:jc w:val="center"/>
              <w:rPr>
                <w:b/>
                <w:bCs/>
                <w:color w:val="auto"/>
                <w:szCs w:val="21"/>
              </w:rPr>
            </w:pPr>
            <w:r>
              <w:rPr>
                <w:b/>
                <w:bCs/>
                <w:color w:val="auto"/>
                <w:szCs w:val="21"/>
              </w:rPr>
              <w:t>表3-</w:t>
            </w:r>
            <w:r>
              <w:rPr>
                <w:rFonts w:hint="eastAsia"/>
                <w:b/>
                <w:bCs/>
                <w:color w:val="auto"/>
                <w:szCs w:val="21"/>
                <w:lang w:val="en-US" w:eastAsia="zh-CN"/>
              </w:rPr>
              <w:t>5</w:t>
            </w:r>
            <w:r>
              <w:rPr>
                <w:b/>
                <w:bCs/>
                <w:color w:val="auto"/>
                <w:szCs w:val="21"/>
              </w:rPr>
              <w:t xml:space="preserve">    环境空气检测结果</w:t>
            </w:r>
          </w:p>
          <w:tbl>
            <w:tblPr>
              <w:tblStyle w:val="19"/>
              <w:tblW w:w="837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189"/>
              <w:gridCol w:w="4190"/>
            </w:tblGrid>
            <w:tr w14:paraId="2EC1EF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4189" w:type="dxa"/>
                  <w:tcBorders>
                    <w:tl2br w:val="nil"/>
                    <w:tr2bl w:val="nil"/>
                  </w:tcBorders>
                  <w:noWrap w:val="0"/>
                  <w:vAlign w:val="center"/>
                </w:tcPr>
                <w:p w14:paraId="1352B038">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采样日期</w:t>
                  </w:r>
                </w:p>
              </w:tc>
              <w:tc>
                <w:tcPr>
                  <w:tcW w:w="4190" w:type="dxa"/>
                  <w:tcBorders>
                    <w:tl2br w:val="nil"/>
                    <w:tr2bl w:val="nil"/>
                  </w:tcBorders>
                  <w:noWrap w:val="0"/>
                  <w:vAlign w:val="center"/>
                </w:tcPr>
                <w:p w14:paraId="0612E495">
                  <w:pPr>
                    <w:jc w:val="center"/>
                    <w:outlineLvl w:val="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总悬浮颗粒物</w:t>
                  </w:r>
                  <w:r>
                    <w:rPr>
                      <w:rFonts w:hint="eastAsia" w:ascii="Times New Roman" w:hAnsi="Times New Roman" w:eastAsia="宋体" w:cs="Times New Roman"/>
                      <w:b w:val="0"/>
                      <w:bCs/>
                      <w:color w:val="auto"/>
                      <w:sz w:val="21"/>
                      <w:szCs w:val="21"/>
                      <w:lang w:val="en-US" w:eastAsia="zh-CN"/>
                    </w:rPr>
                    <w:t>检测结果</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cs="Times New Roman"/>
                      <w:color w:val="auto"/>
                      <w:kern w:val="0"/>
                      <w:sz w:val="21"/>
                      <w:szCs w:val="21"/>
                      <w:lang w:val="en-US" w:eastAsia="zh-CN" w:bidi="ar"/>
                    </w:rPr>
                    <w:t>µ</w:t>
                  </w:r>
                  <w:r>
                    <w:rPr>
                      <w:rFonts w:hint="default" w:ascii="Times New Roman" w:hAnsi="Times New Roman" w:eastAsia="宋体" w:cs="Times New Roman"/>
                      <w:b w:val="0"/>
                      <w:bCs/>
                      <w:color w:val="auto"/>
                      <w:sz w:val="21"/>
                      <w:szCs w:val="21"/>
                      <w:lang w:val="en-US" w:eastAsia="zh-CN"/>
                    </w:rPr>
                    <w:t>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p>
              </w:tc>
            </w:tr>
            <w:tr w14:paraId="1549E7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4189" w:type="dxa"/>
                  <w:tcBorders>
                    <w:tl2br w:val="nil"/>
                    <w:tr2bl w:val="nil"/>
                  </w:tcBorders>
                  <w:noWrap w:val="0"/>
                  <w:vAlign w:val="center"/>
                </w:tcPr>
                <w:p w14:paraId="095C1B2B">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2024.11.10</w:t>
                  </w:r>
                </w:p>
              </w:tc>
              <w:tc>
                <w:tcPr>
                  <w:tcW w:w="4190" w:type="dxa"/>
                  <w:tcBorders>
                    <w:tl2br w:val="nil"/>
                    <w:tr2bl w:val="nil"/>
                  </w:tcBorders>
                  <w:noWrap w:val="0"/>
                  <w:vAlign w:val="center"/>
                </w:tcPr>
                <w:p w14:paraId="327EE50C">
                  <w:pPr>
                    <w:jc w:val="center"/>
                    <w:outlineLvl w:val="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30</w:t>
                  </w:r>
                </w:p>
              </w:tc>
            </w:tr>
            <w:tr w14:paraId="5A1A75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4189" w:type="dxa"/>
                  <w:tcBorders>
                    <w:tl2br w:val="nil"/>
                    <w:tr2bl w:val="nil"/>
                  </w:tcBorders>
                  <w:noWrap w:val="0"/>
                  <w:vAlign w:val="center"/>
                </w:tcPr>
                <w:p w14:paraId="16613EC2">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2024.11.11</w:t>
                  </w:r>
                </w:p>
              </w:tc>
              <w:tc>
                <w:tcPr>
                  <w:tcW w:w="4190" w:type="dxa"/>
                  <w:tcBorders>
                    <w:tl2br w:val="nil"/>
                    <w:tr2bl w:val="nil"/>
                  </w:tcBorders>
                  <w:noWrap w:val="0"/>
                  <w:vAlign w:val="center"/>
                </w:tcPr>
                <w:p w14:paraId="1498F90D">
                  <w:pPr>
                    <w:jc w:val="center"/>
                    <w:outlineLvl w:val="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24</w:t>
                  </w:r>
                </w:p>
              </w:tc>
            </w:tr>
            <w:tr w14:paraId="70DEF1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4189" w:type="dxa"/>
                  <w:tcBorders>
                    <w:tl2br w:val="nil"/>
                    <w:tr2bl w:val="nil"/>
                  </w:tcBorders>
                  <w:noWrap w:val="0"/>
                  <w:vAlign w:val="center"/>
                </w:tcPr>
                <w:p w14:paraId="493E863C">
                  <w:pPr>
                    <w:keepNext w:val="0"/>
                    <w:keepLines w:val="0"/>
                    <w:widowControl/>
                    <w:suppressLineNumbers w:val="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2024.11.12</w:t>
                  </w:r>
                </w:p>
              </w:tc>
              <w:tc>
                <w:tcPr>
                  <w:tcW w:w="4190" w:type="dxa"/>
                  <w:tcBorders>
                    <w:tl2br w:val="nil"/>
                    <w:tr2bl w:val="nil"/>
                  </w:tcBorders>
                  <w:noWrap w:val="0"/>
                  <w:vAlign w:val="center"/>
                </w:tcPr>
                <w:p w14:paraId="7A9F365F">
                  <w:pPr>
                    <w:jc w:val="center"/>
                    <w:outlineLvl w:val="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41</w:t>
                  </w:r>
                </w:p>
              </w:tc>
            </w:tr>
          </w:tbl>
          <w:p w14:paraId="696ED19B">
            <w:pPr>
              <w:spacing w:line="360" w:lineRule="auto"/>
              <w:ind w:firstLine="480"/>
              <w:rPr>
                <w:rFonts w:ascii="Times New Roman" w:hAnsi="Times New Roman" w:eastAsia="Times New Roman" w:cs="Times New Roman"/>
                <w:color w:val="auto"/>
                <w:sz w:val="24"/>
              </w:rPr>
            </w:pPr>
            <w:r>
              <w:rPr>
                <w:rFonts w:ascii="Times New Roman" w:hAnsi="Times New Roman" w:eastAsia="Times New Roman" w:cs="Times New Roman"/>
                <w:color w:val="auto"/>
                <w:sz w:val="24"/>
              </w:rPr>
              <w:t>f、大气环境质量现状评价</w:t>
            </w:r>
          </w:p>
          <w:p w14:paraId="6F8C03F8">
            <w:pPr>
              <w:spacing w:line="360" w:lineRule="auto"/>
              <w:ind w:firstLine="480"/>
              <w:rPr>
                <w:rFonts w:ascii="Times New Roman" w:hAnsi="Times New Roman" w:eastAsia="Times New Roman" w:cs="Times New Roman"/>
                <w:color w:val="auto"/>
                <w:sz w:val="24"/>
              </w:rPr>
            </w:pPr>
            <w:r>
              <w:rPr>
                <w:rFonts w:ascii="Times New Roman" w:hAnsi="Times New Roman" w:eastAsia="Times New Roman" w:cs="Times New Roman"/>
                <w:color w:val="auto"/>
                <w:sz w:val="24"/>
              </w:rPr>
              <w:t>由上表的监测结果统计可知，</w:t>
            </w:r>
            <w:r>
              <w:rPr>
                <w:rFonts w:hint="eastAsia" w:eastAsia="宋体" w:cs="Times New Roman"/>
                <w:color w:val="auto"/>
                <w:sz w:val="24"/>
                <w:lang w:val="en-US" w:eastAsia="zh-CN"/>
              </w:rPr>
              <w:t>TSP</w:t>
            </w:r>
            <w:r>
              <w:rPr>
                <w:rFonts w:ascii="Times New Roman" w:hAnsi="Times New Roman" w:eastAsia="Times New Roman" w:cs="Times New Roman"/>
                <w:color w:val="auto"/>
                <w:sz w:val="24"/>
              </w:rPr>
              <w:t>满足</w:t>
            </w:r>
            <w:r>
              <w:rPr>
                <w:rFonts w:ascii="宋体" w:hAnsi="宋体" w:eastAsia="宋体" w:cs="宋体"/>
                <w:color w:val="auto"/>
                <w:spacing w:val="15"/>
                <w:sz w:val="24"/>
                <w:szCs w:val="24"/>
              </w:rPr>
              <w:t>《环境空气质量标准》</w:t>
            </w:r>
            <w:r>
              <w:rPr>
                <w:rFonts w:ascii="宋体" w:hAnsi="宋体" w:eastAsia="宋体" w:cs="宋体"/>
                <w:color w:val="auto"/>
                <w:spacing w:val="3"/>
                <w:sz w:val="24"/>
                <w:szCs w:val="24"/>
              </w:rPr>
              <w:t>（</w:t>
            </w:r>
            <w:r>
              <w:rPr>
                <w:rFonts w:ascii="Times New Roman" w:hAnsi="Times New Roman" w:eastAsia="Times New Roman" w:cs="Times New Roman"/>
                <w:color w:val="auto"/>
                <w:sz w:val="24"/>
                <w:szCs w:val="24"/>
              </w:rPr>
              <w:t>GB</w:t>
            </w:r>
            <w:r>
              <w:rPr>
                <w:rFonts w:ascii="Times New Roman" w:hAnsi="Times New Roman" w:eastAsia="Times New Roman" w:cs="Times New Roman"/>
                <w:color w:val="auto"/>
                <w:spacing w:val="3"/>
                <w:sz w:val="24"/>
                <w:szCs w:val="24"/>
              </w:rPr>
              <w:t>3095-2012</w:t>
            </w:r>
            <w:r>
              <w:rPr>
                <w:rFonts w:ascii="宋体" w:hAnsi="宋体" w:eastAsia="宋体" w:cs="宋体"/>
                <w:color w:val="auto"/>
                <w:spacing w:val="3"/>
                <w:sz w:val="24"/>
                <w:szCs w:val="24"/>
              </w:rPr>
              <w:t>）</w:t>
            </w:r>
            <w:r>
              <w:rPr>
                <w:rFonts w:hint="eastAsia"/>
                <w:color w:val="auto"/>
                <w:sz w:val="24"/>
                <w:szCs w:val="24"/>
              </w:rPr>
              <w:t>二级标准要求</w:t>
            </w:r>
            <w:r>
              <w:rPr>
                <w:rFonts w:ascii="Times New Roman" w:hAnsi="Times New Roman" w:eastAsia="Times New Roman" w:cs="Times New Roman"/>
                <w:color w:val="auto"/>
                <w:sz w:val="24"/>
              </w:rPr>
              <w:t>。</w:t>
            </w:r>
          </w:p>
          <w:p w14:paraId="1498530A">
            <w:pPr>
              <w:spacing w:line="360" w:lineRule="auto"/>
              <w:ind w:firstLine="480"/>
              <w:rPr>
                <w:rFonts w:eastAsia="Times New Roman"/>
                <w:color w:val="auto"/>
                <w:sz w:val="24"/>
              </w:rPr>
            </w:pPr>
            <w:r>
              <w:rPr>
                <w:rFonts w:eastAsia="Times New Roman"/>
                <w:color w:val="auto"/>
                <w:sz w:val="24"/>
              </w:rPr>
              <w:t>2、声环境质量现状</w:t>
            </w:r>
          </w:p>
          <w:p w14:paraId="631BFF82">
            <w:pPr>
              <w:spacing w:line="360" w:lineRule="auto"/>
              <w:ind w:firstLine="480"/>
              <w:rPr>
                <w:rFonts w:eastAsia="Times New Roman"/>
                <w:color w:val="auto"/>
                <w:sz w:val="24"/>
              </w:rPr>
            </w:pPr>
            <w:r>
              <w:rPr>
                <w:rFonts w:eastAsia="Times New Roman"/>
                <w:color w:val="auto"/>
                <w:sz w:val="24"/>
              </w:rPr>
              <w:t>根据《建设项目环境影响报告表编制技术指南》（污染影响类）可知，场界外周边50米范围内存在声环境保护目标的建设项目，应监测保护目标声环境质量现状并评价达标情况。各点位应监测昼夜间噪声，监测时间不少于1天，项目夜间不生产则仅监测昼间噪声。本项目周围50</w:t>
            </w:r>
            <w:r>
              <w:rPr>
                <w:rFonts w:hint="eastAsia"/>
                <w:color w:val="auto"/>
                <w:sz w:val="24"/>
              </w:rPr>
              <w:t>0</w:t>
            </w:r>
            <w:r>
              <w:rPr>
                <w:rFonts w:eastAsia="Times New Roman"/>
                <w:color w:val="auto"/>
                <w:sz w:val="24"/>
              </w:rPr>
              <w:t>米范围内无环境保护目标，因此不进行声环境现状监测。</w:t>
            </w:r>
          </w:p>
          <w:p w14:paraId="7CAF104B">
            <w:pPr>
              <w:spacing w:line="360" w:lineRule="auto"/>
              <w:ind w:firstLine="480"/>
              <w:rPr>
                <w:rFonts w:eastAsia="Times New Roman"/>
                <w:color w:val="auto"/>
                <w:sz w:val="24"/>
              </w:rPr>
            </w:pPr>
            <w:r>
              <w:rPr>
                <w:rFonts w:eastAsia="Times New Roman"/>
                <w:color w:val="auto"/>
                <w:sz w:val="24"/>
              </w:rPr>
              <w:t>3、生态环境现状</w:t>
            </w:r>
          </w:p>
          <w:p w14:paraId="6BB3A4B8">
            <w:pPr>
              <w:spacing w:line="360" w:lineRule="auto"/>
              <w:ind w:firstLine="480"/>
              <w:rPr>
                <w:rFonts w:eastAsia="Times New Roman"/>
                <w:color w:val="auto"/>
                <w:sz w:val="24"/>
              </w:rPr>
            </w:pPr>
            <w:r>
              <w:rPr>
                <w:rFonts w:eastAsia="Times New Roman"/>
                <w:color w:val="auto"/>
                <w:sz w:val="24"/>
              </w:rPr>
              <w:t>3.1</w:t>
            </w:r>
            <w:r>
              <w:rPr>
                <w:rFonts w:hint="eastAsia" w:eastAsia="Times New Roman"/>
                <w:color w:val="auto"/>
                <w:sz w:val="24"/>
                <w:lang w:eastAsia="zh-CN"/>
              </w:rPr>
              <w:t>生态</w:t>
            </w:r>
            <w:r>
              <w:rPr>
                <w:rFonts w:eastAsia="Times New Roman"/>
                <w:color w:val="auto"/>
                <w:sz w:val="24"/>
              </w:rPr>
              <w:t>功能区划</w:t>
            </w:r>
          </w:p>
          <w:p w14:paraId="1B1335E7">
            <w:pPr>
              <w:spacing w:line="360" w:lineRule="auto"/>
              <w:ind w:firstLine="480"/>
              <w:rPr>
                <w:rFonts w:eastAsia="Times New Roman"/>
                <w:color w:val="auto"/>
                <w:sz w:val="24"/>
              </w:rPr>
            </w:pPr>
            <w:r>
              <w:rPr>
                <w:rFonts w:hint="eastAsia" w:eastAsia="Times New Roman"/>
                <w:color w:val="auto"/>
                <w:sz w:val="24"/>
              </w:rPr>
              <w:t>根据《全国生态功能区划（修编版）》，拟建项目位于I-04-01呼伦贝尔草原防风固沙功能区。该区地处温带－寒温带气候区，气候较干燥，多大风，沙漠化敏感性程度较高。</w:t>
            </w:r>
          </w:p>
          <w:p w14:paraId="7DC7D495">
            <w:pPr>
              <w:spacing w:line="360" w:lineRule="auto"/>
              <w:ind w:firstLine="480"/>
              <w:rPr>
                <w:rFonts w:eastAsia="Times New Roman"/>
                <w:color w:val="auto"/>
                <w:sz w:val="24"/>
              </w:rPr>
            </w:pPr>
            <w:r>
              <w:rPr>
                <w:rFonts w:hint="eastAsia" w:eastAsia="Times New Roman"/>
                <w:color w:val="auto"/>
                <w:sz w:val="24"/>
              </w:rPr>
              <w:t>主要生态问题：过度放牧与草地不合理开发利用导致草地生态系统的严重退化，表现为草地群落结构简单化、物种成分减少、土地沙化面积大、鼠虫害频发。</w:t>
            </w:r>
          </w:p>
          <w:p w14:paraId="52A17F4B">
            <w:pPr>
              <w:spacing w:line="360" w:lineRule="auto"/>
              <w:ind w:firstLine="480"/>
              <w:rPr>
                <w:rFonts w:eastAsia="Times New Roman"/>
                <w:color w:val="auto"/>
                <w:sz w:val="24"/>
              </w:rPr>
            </w:pPr>
            <w:r>
              <w:rPr>
                <w:rFonts w:hint="eastAsia" w:eastAsia="Times New Roman"/>
                <w:color w:val="auto"/>
                <w:sz w:val="24"/>
              </w:rPr>
              <w:t>生态保护主要措施：停止导致草地生态系统退化的人为破坏活动，禁止开垦草地，严格控制放牧强度；加强退化草地恢复重建的力度及优质人工草场建设。</w:t>
            </w:r>
          </w:p>
          <w:p w14:paraId="2FF86398">
            <w:pPr>
              <w:spacing w:line="360" w:lineRule="auto"/>
              <w:ind w:firstLine="480"/>
              <w:rPr>
                <w:rFonts w:hint="eastAsia" w:eastAsia="Times New Roman"/>
                <w:color w:val="auto"/>
                <w:sz w:val="24"/>
              </w:rPr>
            </w:pPr>
            <w:r>
              <w:rPr>
                <w:rFonts w:hint="eastAsia" w:eastAsia="Times New Roman"/>
                <w:color w:val="auto"/>
                <w:sz w:val="24"/>
              </w:rPr>
              <w:t>本项目在全国生态功能区划中的位置关系见图如下：</w:t>
            </w:r>
          </w:p>
          <w:p w14:paraId="48CDF8CE">
            <w:pPr>
              <w:spacing w:line="360" w:lineRule="auto"/>
              <w:jc w:val="center"/>
              <w:rPr>
                <w:rFonts w:hint="eastAsia" w:eastAsia="Times New Roman"/>
                <w:color w:val="auto"/>
                <w:sz w:val="24"/>
                <w:lang w:val="en-US" w:eastAsia="zh-CN"/>
              </w:rPr>
            </w:pPr>
            <w:r>
              <w:rPr>
                <w:color w:val="auto"/>
              </w:rPr>
              <w:drawing>
                <wp:inline distT="0" distB="0" distL="0" distR="0">
                  <wp:extent cx="5178425" cy="3279140"/>
                  <wp:effectExtent l="0" t="0" r="0" b="0"/>
                  <wp:docPr id="5" name="_x0000_i1026"/>
                  <wp:cNvGraphicFramePr/>
                  <a:graphic xmlns:a="http://schemas.openxmlformats.org/drawingml/2006/main">
                    <a:graphicData uri="http://schemas.openxmlformats.org/drawingml/2006/picture">
                      <pic:pic xmlns:pic="http://schemas.openxmlformats.org/drawingml/2006/picture">
                        <pic:nvPicPr>
                          <pic:cNvPr id="5" name="_x0000_i1026"/>
                          <pic:cNvPicPr/>
                        </pic:nvPicPr>
                        <pic:blipFill>
                          <a:blip r:embed="rId16"/>
                          <a:stretch>
                            <a:fillRect/>
                          </a:stretch>
                        </pic:blipFill>
                        <pic:spPr>
                          <a:xfrm>
                            <a:off x="0" y="0"/>
                            <a:ext cx="5178425" cy="3279140"/>
                          </a:xfrm>
                          <a:prstGeom prst="rect">
                            <a:avLst/>
                          </a:prstGeom>
                        </pic:spPr>
                      </pic:pic>
                    </a:graphicData>
                  </a:graphic>
                </wp:inline>
              </w:drawing>
            </w:r>
          </w:p>
          <w:p w14:paraId="3A23499D">
            <w:pPr>
              <w:spacing w:line="360" w:lineRule="auto"/>
              <w:jc w:val="center"/>
              <w:rPr>
                <w:rFonts w:hint="default"/>
                <w:b/>
                <w:bCs/>
                <w:color w:val="auto"/>
                <w:szCs w:val="21"/>
                <w:lang w:val="en-US" w:eastAsia="zh-CN"/>
              </w:rPr>
            </w:pPr>
            <w:r>
              <w:rPr>
                <w:rFonts w:hint="eastAsia"/>
                <w:b/>
                <w:bCs/>
                <w:color w:val="auto"/>
                <w:szCs w:val="21"/>
                <w:lang w:val="en-US" w:eastAsia="zh-CN"/>
              </w:rPr>
              <w:t>图3-1    本项目在全国生态功能区划中的位置关系图</w:t>
            </w:r>
          </w:p>
          <w:p w14:paraId="1F29724E">
            <w:pPr>
              <w:spacing w:line="360" w:lineRule="auto"/>
              <w:ind w:firstLine="480"/>
              <w:rPr>
                <w:rFonts w:hint="eastAsia" w:eastAsia="Times New Roman"/>
                <w:color w:val="auto"/>
                <w:sz w:val="24"/>
                <w:lang w:val="en-US" w:eastAsia="zh-CN"/>
              </w:rPr>
            </w:pPr>
            <w:r>
              <w:rPr>
                <w:rFonts w:hint="eastAsia" w:eastAsia="Times New Roman"/>
                <w:color w:val="auto"/>
                <w:sz w:val="24"/>
                <w:lang w:val="en-US" w:eastAsia="zh-CN"/>
              </w:rPr>
              <w:t>根据《内蒙古自治区生态功能区划》，本项目位于III-1-4呼伦贝尔草甸草原涵养水源土壤保持生态功能区，本区生态环境的主要问题是过牧造成草场退化和沙化，使生物多样性保护处于极为敏感状态。</w:t>
            </w:r>
          </w:p>
          <w:p w14:paraId="00525EE4">
            <w:pPr>
              <w:spacing w:line="360" w:lineRule="auto"/>
              <w:ind w:firstLine="480"/>
              <w:rPr>
                <w:rFonts w:hint="eastAsia" w:eastAsia="Times New Roman"/>
                <w:color w:val="auto"/>
                <w:sz w:val="24"/>
                <w:lang w:val="en-US" w:eastAsia="zh-CN"/>
              </w:rPr>
            </w:pPr>
            <w:r>
              <w:rPr>
                <w:rFonts w:hint="eastAsia" w:eastAsia="Times New Roman"/>
                <w:color w:val="auto"/>
                <w:sz w:val="24"/>
                <w:lang w:val="en-US" w:eastAsia="zh-CN"/>
              </w:rPr>
              <w:t>在生态功能保护措施上要采取绝对保护措施予以保护。划定草甸草原保护区，实施退耕还林还草工作。建设生态功能保护区、自然保护区，禁止开垦林间草地，禁止有污染的工业生产项目等严重导致森林生态功能退化的生产经营方式。</w:t>
            </w:r>
          </w:p>
          <w:p w14:paraId="458601C3">
            <w:pPr>
              <w:spacing w:line="360" w:lineRule="auto"/>
              <w:jc w:val="center"/>
              <w:rPr>
                <w:rFonts w:hint="eastAsia"/>
                <w:b/>
                <w:bCs/>
                <w:color w:val="auto"/>
                <w:szCs w:val="21"/>
                <w:lang w:val="en-US" w:eastAsia="zh-CN"/>
              </w:rPr>
            </w:pPr>
            <w:r>
              <w:rPr>
                <w:rFonts w:hint="eastAsia"/>
                <w:b/>
                <w:bCs/>
                <w:color w:val="auto"/>
                <w:szCs w:val="21"/>
                <w:lang w:val="en-US" w:eastAsia="zh-CN"/>
              </w:rPr>
              <w:t>表3-6    内蒙古自治区生态功能区划简表</w:t>
            </w:r>
          </w:p>
          <w:tbl>
            <w:tblPr>
              <w:tblStyle w:val="61"/>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209"/>
              <w:gridCol w:w="713"/>
              <w:gridCol w:w="780"/>
              <w:gridCol w:w="1340"/>
              <w:gridCol w:w="426"/>
              <w:gridCol w:w="637"/>
              <w:gridCol w:w="637"/>
              <w:gridCol w:w="637"/>
            </w:tblGrid>
            <w:tr w14:paraId="1FD27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873" w:type="pct"/>
                  <w:gridSpan w:val="3"/>
                  <w:noWrap/>
                  <w:vAlign w:val="center"/>
                </w:tcPr>
                <w:p w14:paraId="7EC46A9E">
                  <w:pPr>
                    <w:pStyle w:val="57"/>
                    <w:widowControl w:val="0"/>
                    <w:rPr>
                      <w:color w:val="auto"/>
                    </w:rPr>
                  </w:pPr>
                  <w:r>
                    <w:rPr>
                      <w:rFonts w:hint="eastAsia"/>
                      <w:color w:val="auto"/>
                    </w:rPr>
                    <w:t>生态功能分区单元</w:t>
                  </w:r>
                </w:p>
              </w:tc>
              <w:tc>
                <w:tcPr>
                  <w:tcW w:w="807" w:type="pct"/>
                  <w:vMerge w:val="restart"/>
                  <w:vAlign w:val="center"/>
                </w:tcPr>
                <w:p w14:paraId="11E8B086">
                  <w:pPr>
                    <w:pStyle w:val="57"/>
                    <w:widowControl w:val="0"/>
                    <w:rPr>
                      <w:color w:val="auto"/>
                    </w:rPr>
                  </w:pPr>
                  <w:r>
                    <w:rPr>
                      <w:rFonts w:hint="eastAsia"/>
                      <w:color w:val="auto"/>
                    </w:rPr>
                    <w:t>所在区域及面积（km</w:t>
                  </w:r>
                  <w:r>
                    <w:rPr>
                      <w:rFonts w:hint="eastAsia"/>
                      <w:color w:val="auto"/>
                      <w:vertAlign w:val="superscript"/>
                    </w:rPr>
                    <w:t>2</w:t>
                  </w:r>
                  <w:r>
                    <w:rPr>
                      <w:rFonts w:hint="eastAsia"/>
                      <w:color w:val="auto"/>
                    </w:rPr>
                    <w:t>）</w:t>
                  </w:r>
                </w:p>
              </w:tc>
              <w:tc>
                <w:tcPr>
                  <w:tcW w:w="501" w:type="pct"/>
                  <w:vMerge w:val="restart"/>
                  <w:vAlign w:val="center"/>
                </w:tcPr>
                <w:p w14:paraId="2496377F">
                  <w:pPr>
                    <w:pStyle w:val="57"/>
                    <w:widowControl w:val="0"/>
                    <w:rPr>
                      <w:color w:val="auto"/>
                    </w:rPr>
                  </w:pPr>
                  <w:r>
                    <w:rPr>
                      <w:rFonts w:hint="eastAsia"/>
                      <w:color w:val="auto"/>
                    </w:rPr>
                    <w:t>生态环境敏感性</w:t>
                  </w:r>
                </w:p>
              </w:tc>
              <w:tc>
                <w:tcPr>
                  <w:tcW w:w="553" w:type="pct"/>
                  <w:vMerge w:val="restart"/>
                  <w:vAlign w:val="center"/>
                </w:tcPr>
                <w:p w14:paraId="08DD999A">
                  <w:pPr>
                    <w:pStyle w:val="57"/>
                    <w:widowControl w:val="0"/>
                    <w:rPr>
                      <w:color w:val="auto"/>
                    </w:rPr>
                  </w:pPr>
                  <w:r>
                    <w:rPr>
                      <w:rFonts w:hint="eastAsia"/>
                      <w:color w:val="auto"/>
                    </w:rPr>
                    <w:t>主要生态环境问题</w:t>
                  </w:r>
                </w:p>
              </w:tc>
              <w:tc>
                <w:tcPr>
                  <w:tcW w:w="657" w:type="pct"/>
                  <w:vMerge w:val="restart"/>
                  <w:vAlign w:val="center"/>
                </w:tcPr>
                <w:p w14:paraId="7A35DE04">
                  <w:pPr>
                    <w:pStyle w:val="57"/>
                    <w:widowControl w:val="0"/>
                    <w:rPr>
                      <w:color w:val="auto"/>
                    </w:rPr>
                  </w:pPr>
                  <w:r>
                    <w:rPr>
                      <w:rFonts w:hint="eastAsia"/>
                      <w:color w:val="auto"/>
                    </w:rPr>
                    <w:t>主要生态系统服务功能</w:t>
                  </w:r>
                </w:p>
              </w:tc>
              <w:tc>
                <w:tcPr>
                  <w:tcW w:w="607" w:type="pct"/>
                  <w:vMerge w:val="restart"/>
                  <w:vAlign w:val="center"/>
                </w:tcPr>
                <w:p w14:paraId="64BCAF3B">
                  <w:pPr>
                    <w:pStyle w:val="57"/>
                    <w:widowControl w:val="0"/>
                    <w:rPr>
                      <w:color w:val="auto"/>
                    </w:rPr>
                  </w:pPr>
                  <w:r>
                    <w:rPr>
                      <w:rFonts w:hint="eastAsia"/>
                      <w:color w:val="auto"/>
                    </w:rPr>
                    <w:t>主要措施与发展方向</w:t>
                  </w:r>
                </w:p>
              </w:tc>
            </w:tr>
            <w:tr w14:paraId="749514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71" w:type="pct"/>
                  <w:noWrap/>
                  <w:vAlign w:val="center"/>
                </w:tcPr>
                <w:p w14:paraId="4C869213">
                  <w:pPr>
                    <w:pStyle w:val="57"/>
                    <w:widowControl w:val="0"/>
                    <w:rPr>
                      <w:color w:val="auto"/>
                    </w:rPr>
                  </w:pPr>
                  <w:r>
                    <w:rPr>
                      <w:rFonts w:hint="eastAsia"/>
                      <w:color w:val="auto"/>
                    </w:rPr>
                    <w:t>生态区</w:t>
                  </w:r>
                </w:p>
              </w:tc>
              <w:tc>
                <w:tcPr>
                  <w:tcW w:w="631" w:type="pct"/>
                  <w:vAlign w:val="center"/>
                </w:tcPr>
                <w:p w14:paraId="0FA7E635">
                  <w:pPr>
                    <w:pStyle w:val="57"/>
                    <w:widowControl w:val="0"/>
                    <w:rPr>
                      <w:color w:val="auto"/>
                    </w:rPr>
                  </w:pPr>
                  <w:r>
                    <w:rPr>
                      <w:rFonts w:hint="eastAsia"/>
                      <w:color w:val="auto"/>
                    </w:rPr>
                    <w:t>生态亚区</w:t>
                  </w:r>
                </w:p>
              </w:tc>
              <w:tc>
                <w:tcPr>
                  <w:tcW w:w="670" w:type="pct"/>
                  <w:vAlign w:val="center"/>
                </w:tcPr>
                <w:p w14:paraId="0C2DB02A">
                  <w:pPr>
                    <w:pStyle w:val="57"/>
                    <w:widowControl w:val="0"/>
                    <w:rPr>
                      <w:color w:val="auto"/>
                    </w:rPr>
                  </w:pPr>
                  <w:r>
                    <w:rPr>
                      <w:rFonts w:hint="eastAsia"/>
                      <w:color w:val="auto"/>
                    </w:rPr>
                    <w:t>生态功能区</w:t>
                  </w:r>
                </w:p>
              </w:tc>
              <w:tc>
                <w:tcPr>
                  <w:tcW w:w="807" w:type="pct"/>
                  <w:vMerge w:val="continue"/>
                  <w:vAlign w:val="center"/>
                </w:tcPr>
                <w:p w14:paraId="216C7C4F">
                  <w:pPr>
                    <w:pStyle w:val="57"/>
                    <w:widowControl w:val="0"/>
                    <w:rPr>
                      <w:color w:val="auto"/>
                    </w:rPr>
                  </w:pPr>
                </w:p>
              </w:tc>
              <w:tc>
                <w:tcPr>
                  <w:tcW w:w="501" w:type="pct"/>
                  <w:vMerge w:val="continue"/>
                  <w:vAlign w:val="center"/>
                </w:tcPr>
                <w:p w14:paraId="61FBE4B2">
                  <w:pPr>
                    <w:pStyle w:val="57"/>
                    <w:widowControl w:val="0"/>
                    <w:rPr>
                      <w:color w:val="auto"/>
                    </w:rPr>
                  </w:pPr>
                </w:p>
              </w:tc>
              <w:tc>
                <w:tcPr>
                  <w:tcW w:w="553" w:type="pct"/>
                  <w:vMerge w:val="continue"/>
                  <w:vAlign w:val="center"/>
                </w:tcPr>
                <w:p w14:paraId="5663924C">
                  <w:pPr>
                    <w:pStyle w:val="57"/>
                    <w:widowControl w:val="0"/>
                    <w:rPr>
                      <w:color w:val="auto"/>
                    </w:rPr>
                  </w:pPr>
                </w:p>
              </w:tc>
              <w:tc>
                <w:tcPr>
                  <w:tcW w:w="657" w:type="pct"/>
                  <w:vMerge w:val="continue"/>
                  <w:vAlign w:val="center"/>
                </w:tcPr>
                <w:p w14:paraId="655ED08E">
                  <w:pPr>
                    <w:pStyle w:val="57"/>
                    <w:widowControl w:val="0"/>
                    <w:rPr>
                      <w:color w:val="auto"/>
                    </w:rPr>
                  </w:pPr>
                </w:p>
              </w:tc>
              <w:tc>
                <w:tcPr>
                  <w:tcW w:w="607" w:type="pct"/>
                  <w:vMerge w:val="continue"/>
                  <w:vAlign w:val="center"/>
                </w:tcPr>
                <w:p w14:paraId="77A71C40">
                  <w:pPr>
                    <w:pStyle w:val="57"/>
                    <w:widowControl w:val="0"/>
                    <w:rPr>
                      <w:color w:val="auto"/>
                    </w:rPr>
                  </w:pPr>
                </w:p>
              </w:tc>
            </w:tr>
            <w:tr w14:paraId="06E4E8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71" w:type="pct"/>
                  <w:noWrap/>
                  <w:vAlign w:val="center"/>
                </w:tcPr>
                <w:p w14:paraId="52692A9E">
                  <w:pPr>
                    <w:pStyle w:val="57"/>
                    <w:widowControl w:val="0"/>
                    <w:rPr>
                      <w:color w:val="auto"/>
                    </w:rPr>
                  </w:pPr>
                  <w:r>
                    <w:rPr>
                      <w:rFonts w:hint="eastAsia"/>
                      <w:color w:val="auto"/>
                    </w:rPr>
                    <w:t>III内蒙古高原中东部草原生态区</w:t>
                  </w:r>
                </w:p>
              </w:tc>
              <w:tc>
                <w:tcPr>
                  <w:tcW w:w="631" w:type="pct"/>
                  <w:vAlign w:val="center"/>
                </w:tcPr>
                <w:p w14:paraId="4095D228">
                  <w:pPr>
                    <w:pStyle w:val="57"/>
                    <w:widowControl w:val="0"/>
                    <w:rPr>
                      <w:color w:val="auto"/>
                    </w:rPr>
                  </w:pPr>
                  <w:r>
                    <w:rPr>
                      <w:rFonts w:hint="eastAsia"/>
                      <w:color w:val="auto"/>
                    </w:rPr>
                    <w:t>III-1呼伦贝尔草原生态亚区</w:t>
                  </w:r>
                </w:p>
              </w:tc>
              <w:tc>
                <w:tcPr>
                  <w:tcW w:w="670" w:type="pct"/>
                  <w:vAlign w:val="center"/>
                </w:tcPr>
                <w:p w14:paraId="66AAB804">
                  <w:pPr>
                    <w:pStyle w:val="57"/>
                    <w:widowControl w:val="0"/>
                    <w:rPr>
                      <w:color w:val="auto"/>
                    </w:rPr>
                  </w:pPr>
                  <w:r>
                    <w:rPr>
                      <w:rFonts w:hint="eastAsia"/>
                      <w:color w:val="auto"/>
                    </w:rPr>
                    <w:t>III-1-4呼伦贝尔草甸草原涵养水源土壤保持生态功能区</w:t>
                  </w:r>
                </w:p>
              </w:tc>
              <w:tc>
                <w:tcPr>
                  <w:tcW w:w="807" w:type="pct"/>
                  <w:vAlign w:val="center"/>
                </w:tcPr>
                <w:p w14:paraId="188877E8">
                  <w:pPr>
                    <w:pStyle w:val="57"/>
                    <w:widowControl w:val="0"/>
                    <w:rPr>
                      <w:color w:val="auto"/>
                      <w:vertAlign w:val="superscript"/>
                    </w:rPr>
                  </w:pPr>
                  <w:r>
                    <w:rPr>
                      <w:rFonts w:hint="eastAsia"/>
                      <w:color w:val="auto"/>
                    </w:rPr>
                    <w:t>陈巴尔虎旗、新巴尔虎左旗、海拉尔市、鄂温克族自治旗面积</w:t>
                  </w:r>
                  <w:r>
                    <w:rPr>
                      <w:color w:val="auto"/>
                    </w:rPr>
                    <w:t>19399.07</w:t>
                  </w:r>
                  <w:r>
                    <w:rPr>
                      <w:rFonts w:hint="eastAsia"/>
                      <w:color w:val="auto"/>
                    </w:rPr>
                    <w:t>km</w:t>
                  </w:r>
                  <w:r>
                    <w:rPr>
                      <w:rFonts w:hint="eastAsia"/>
                      <w:color w:val="auto"/>
                      <w:vertAlign w:val="superscript"/>
                    </w:rPr>
                    <w:t>2</w:t>
                  </w:r>
                </w:p>
              </w:tc>
              <w:tc>
                <w:tcPr>
                  <w:tcW w:w="501" w:type="pct"/>
                  <w:vAlign w:val="center"/>
                </w:tcPr>
                <w:p w14:paraId="0B80C23A">
                  <w:pPr>
                    <w:pStyle w:val="57"/>
                    <w:widowControl w:val="0"/>
                    <w:rPr>
                      <w:color w:val="auto"/>
                    </w:rPr>
                  </w:pPr>
                  <w:r>
                    <w:rPr>
                      <w:rFonts w:hint="eastAsia"/>
                      <w:color w:val="auto"/>
                    </w:rPr>
                    <w:t>土壤侵蚀和生物多样性较为敏感</w:t>
                  </w:r>
                </w:p>
              </w:tc>
              <w:tc>
                <w:tcPr>
                  <w:tcW w:w="553" w:type="pct"/>
                  <w:vAlign w:val="center"/>
                </w:tcPr>
                <w:p w14:paraId="7397D5C1">
                  <w:pPr>
                    <w:pStyle w:val="57"/>
                    <w:widowControl w:val="0"/>
                    <w:rPr>
                      <w:color w:val="auto"/>
                    </w:rPr>
                  </w:pPr>
                  <w:r>
                    <w:rPr>
                      <w:rFonts w:hint="eastAsia"/>
                      <w:color w:val="auto"/>
                    </w:rPr>
                    <w:t>过度放牧、土壤侵蚀、土地退化</w:t>
                  </w:r>
                </w:p>
              </w:tc>
              <w:tc>
                <w:tcPr>
                  <w:tcW w:w="657" w:type="pct"/>
                  <w:vAlign w:val="center"/>
                </w:tcPr>
                <w:p w14:paraId="442BB4B0">
                  <w:pPr>
                    <w:pStyle w:val="57"/>
                    <w:widowControl w:val="0"/>
                    <w:rPr>
                      <w:color w:val="auto"/>
                    </w:rPr>
                  </w:pPr>
                  <w:r>
                    <w:rPr>
                      <w:rFonts w:hint="eastAsia"/>
                      <w:color w:val="auto"/>
                    </w:rPr>
                    <w:t>涵养水源、保持土壤和提供生态产品以及生物多样性</w:t>
                  </w:r>
                </w:p>
              </w:tc>
              <w:tc>
                <w:tcPr>
                  <w:tcW w:w="607" w:type="pct"/>
                  <w:vAlign w:val="center"/>
                </w:tcPr>
                <w:p w14:paraId="74FDD58B">
                  <w:pPr>
                    <w:pStyle w:val="57"/>
                    <w:widowControl w:val="0"/>
                    <w:rPr>
                      <w:color w:val="auto"/>
                    </w:rPr>
                  </w:pPr>
                  <w:r>
                    <w:rPr>
                      <w:rFonts w:hint="eastAsia"/>
                      <w:color w:val="auto"/>
                    </w:rPr>
                    <w:t>禁止开垦，建立合理的放牧制度，实施轮牧、限制放牧、休牧制度</w:t>
                  </w:r>
                </w:p>
              </w:tc>
            </w:tr>
          </w:tbl>
          <w:p w14:paraId="4C6FCB25">
            <w:pPr>
              <w:pStyle w:val="33"/>
              <w:ind w:left="0" w:leftChars="0" w:firstLine="0" w:firstLineChars="0"/>
              <w:jc w:val="center"/>
              <w:rPr>
                <w:color w:val="auto"/>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3077210</wp:posOffset>
                      </wp:positionH>
                      <wp:positionV relativeFrom="paragraph">
                        <wp:posOffset>1014095</wp:posOffset>
                      </wp:positionV>
                      <wp:extent cx="610870" cy="297180"/>
                      <wp:effectExtent l="6350" t="6350" r="163830" b="229870"/>
                      <wp:wrapNone/>
                      <wp:docPr id="6" name="矩形标注 9"/>
                      <wp:cNvGraphicFramePr/>
                      <a:graphic xmlns:a="http://schemas.openxmlformats.org/drawingml/2006/main">
                        <a:graphicData uri="http://schemas.microsoft.com/office/word/2010/wordprocessingShape">
                          <wps:wsp>
                            <wps:cNvSpPr/>
                            <wps:spPr>
                              <a:xfrm>
                                <a:off x="4417695" y="1891030"/>
                                <a:ext cx="610870" cy="297180"/>
                              </a:xfrm>
                              <a:prstGeom prst="wedgeRectCallout">
                                <a:avLst>
                                  <a:gd name="adj1" fmla="val 68191"/>
                                  <a:gd name="adj2" fmla="val 114316"/>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0E75D96B">
                                  <w:pPr>
                                    <w:jc w:val="center"/>
                                    <w:rPr>
                                      <w:rFonts w:hint="eastAsia" w:eastAsia="宋体"/>
                                      <w:color w:val="FFFFFF"/>
                                      <w:sz w:val="21"/>
                                      <w:szCs w:val="21"/>
                                      <w:lang w:eastAsia="zh-CN"/>
                                    </w:rPr>
                                  </w:pPr>
                                  <w:r>
                                    <w:rPr>
                                      <w:rFonts w:hint="eastAsia"/>
                                      <w:color w:val="FFFFFF"/>
                                      <w:sz w:val="21"/>
                                      <w:szCs w:val="21"/>
                                      <w:lang w:eastAsia="zh-CN"/>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9" o:spid="_x0000_s1026" o:spt="61" type="#_x0000_t61" style="position:absolute;left:0pt;margin-left:242.3pt;margin-top:79.85pt;height:23.4pt;width:48.1pt;z-index:251661312;v-text-anchor:middle;mso-width-relative:page;mso-height-relative:page;" fillcolor="#5B9BD5 [3204]" filled="t" stroked="t" coordsize="21600,21600" o:gfxdata="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C4sLy02gAAAAsBAAAPAAAAAAAAAAEAIAAAACIAAABkcnMvZG93bnJldi54bWxQSwECFAAUAAAA&#10;CACHTuJApTsXC9ACAACQBQAADgAAAAAAAAABACAAAAApAQAAZHJzL2Uyb0RvYy54bWxQSwUGAAAA&#10;AAYABgBZAQAAawYAAAAA&#10;" adj="25529,35492">
                      <v:fill on="t" focussize="0,0"/>
                      <v:stroke weight="1pt" color="#2E75B6 [2404]" miterlimit="8" joinstyle="miter"/>
                      <v:imagedata o:title=""/>
                      <o:lock v:ext="edit" aspectratio="f"/>
                      <v:textbox>
                        <w:txbxContent>
                          <w:p w14:paraId="0E75D96B">
                            <w:pPr>
                              <w:jc w:val="center"/>
                              <w:rPr>
                                <w:rFonts w:hint="eastAsia" w:eastAsia="宋体"/>
                                <w:color w:val="FFFFFF"/>
                                <w:sz w:val="21"/>
                                <w:szCs w:val="21"/>
                                <w:lang w:eastAsia="zh-CN"/>
                              </w:rPr>
                            </w:pPr>
                            <w:r>
                              <w:rPr>
                                <w:rFonts w:hint="eastAsia"/>
                                <w:color w:val="FFFFFF"/>
                                <w:sz w:val="21"/>
                                <w:szCs w:val="21"/>
                                <w:lang w:eastAsia="zh-CN"/>
                              </w:rPr>
                              <w:t>本项目</w:t>
                            </w:r>
                          </w:p>
                        </w:txbxContent>
                      </v:textbox>
                    </v:shape>
                  </w:pict>
                </mc:Fallback>
              </mc:AlternateContent>
            </w:r>
            <w:r>
              <w:rPr>
                <w:rFonts w:hint="eastAsia" w:eastAsia="宋体"/>
                <w:color w:val="auto"/>
                <w:sz w:val="24"/>
                <w:lang w:eastAsia="zh-CN"/>
              </w:rPr>
              <w:drawing>
                <wp:inline distT="0" distB="0" distL="114300" distR="114300">
                  <wp:extent cx="5240020" cy="4415155"/>
                  <wp:effectExtent l="0" t="0" r="17780" b="4445"/>
                  <wp:docPr id="7" name="图片 1" descr="3ada30a71f044beec48af3e3befa0c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3ada30a71f044beec48af3e3befa0cdd"/>
                          <pic:cNvPicPr>
                            <a:picLocks noChangeAspect="1"/>
                          </pic:cNvPicPr>
                        </pic:nvPicPr>
                        <pic:blipFill>
                          <a:blip r:embed="rId17"/>
                          <a:stretch>
                            <a:fillRect/>
                          </a:stretch>
                        </pic:blipFill>
                        <pic:spPr>
                          <a:xfrm>
                            <a:off x="0" y="0"/>
                            <a:ext cx="5240020" cy="4415155"/>
                          </a:xfrm>
                          <a:prstGeom prst="rect">
                            <a:avLst/>
                          </a:prstGeom>
                        </pic:spPr>
                      </pic:pic>
                    </a:graphicData>
                  </a:graphic>
                </wp:inline>
              </w:drawing>
            </w:r>
          </w:p>
          <w:p w14:paraId="06CE3754">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图3-2    内蒙古自治区生态功能区划图</w:t>
            </w:r>
          </w:p>
          <w:p w14:paraId="66E455E5">
            <w:pPr>
              <w:spacing w:line="360" w:lineRule="auto"/>
              <w:ind w:firstLine="480"/>
              <w:rPr>
                <w:rFonts w:eastAsia="Times New Roman"/>
                <w:color w:val="auto"/>
                <w:sz w:val="24"/>
              </w:rPr>
            </w:pPr>
            <w:r>
              <w:rPr>
                <w:rFonts w:eastAsia="Times New Roman"/>
                <w:color w:val="auto"/>
                <w:sz w:val="24"/>
              </w:rPr>
              <w:t>3.2生态环境质量现状</w:t>
            </w:r>
          </w:p>
          <w:p w14:paraId="2F953F9E">
            <w:pPr>
              <w:spacing w:line="360" w:lineRule="auto"/>
              <w:ind w:firstLine="480" w:firstLineChars="200"/>
              <w:rPr>
                <w:color w:val="auto"/>
                <w:sz w:val="24"/>
              </w:rPr>
            </w:pPr>
            <w:r>
              <w:rPr>
                <w:color w:val="auto"/>
                <w:sz w:val="24"/>
              </w:rPr>
              <w:t>《环境影响评价技术导则 生态影响》（HJ19-2022）中关于生态评价等级的具体判定按以下原则确定评价等级：</w:t>
            </w:r>
          </w:p>
          <w:p w14:paraId="19743F16">
            <w:pPr>
              <w:spacing w:line="360" w:lineRule="auto"/>
              <w:ind w:firstLine="480" w:firstLineChars="200"/>
              <w:rPr>
                <w:color w:val="auto"/>
                <w:sz w:val="24"/>
              </w:rPr>
            </w:pPr>
            <w:r>
              <w:rPr>
                <w:color w:val="auto"/>
                <w:sz w:val="24"/>
              </w:rPr>
              <w:t>a）涉及国家公园、自然保护区、世界自然遗产、重要生境时，评价等级为一级；</w:t>
            </w:r>
          </w:p>
          <w:p w14:paraId="326246BA">
            <w:pPr>
              <w:spacing w:line="360" w:lineRule="auto"/>
              <w:ind w:firstLine="480" w:firstLineChars="200"/>
              <w:rPr>
                <w:color w:val="auto"/>
                <w:sz w:val="24"/>
              </w:rPr>
            </w:pPr>
            <w:r>
              <w:rPr>
                <w:color w:val="auto"/>
                <w:sz w:val="24"/>
              </w:rPr>
              <w:t>b）涉及自然公园时，评价等级为二级；</w:t>
            </w:r>
          </w:p>
          <w:p w14:paraId="10871774">
            <w:pPr>
              <w:spacing w:line="360" w:lineRule="auto"/>
              <w:ind w:firstLine="480" w:firstLineChars="200"/>
              <w:rPr>
                <w:color w:val="auto"/>
                <w:sz w:val="24"/>
              </w:rPr>
            </w:pPr>
            <w:r>
              <w:rPr>
                <w:color w:val="auto"/>
                <w:sz w:val="24"/>
              </w:rPr>
              <w:t>c）涉及生态保护红线时，评价等级不低于二级；</w:t>
            </w:r>
          </w:p>
          <w:p w14:paraId="4C68E252">
            <w:pPr>
              <w:spacing w:line="360" w:lineRule="auto"/>
              <w:ind w:firstLine="480" w:firstLineChars="200"/>
              <w:rPr>
                <w:color w:val="auto"/>
                <w:sz w:val="24"/>
              </w:rPr>
            </w:pPr>
            <w:r>
              <w:rPr>
                <w:color w:val="auto"/>
                <w:sz w:val="24"/>
              </w:rPr>
              <w:t>d）根据HJ 2.3判断属于水文要素影响型且地表水评价等级不低于二级的建设项目，生态影响评价等级不低于二级；</w:t>
            </w:r>
          </w:p>
          <w:p w14:paraId="63C7A169">
            <w:pPr>
              <w:spacing w:line="360" w:lineRule="auto"/>
              <w:ind w:firstLine="480" w:firstLineChars="200"/>
              <w:rPr>
                <w:color w:val="auto"/>
                <w:sz w:val="24"/>
              </w:rPr>
            </w:pPr>
            <w:r>
              <w:rPr>
                <w:color w:val="auto"/>
                <w:sz w:val="24"/>
              </w:rPr>
              <w:t>e）根据HJ 610、HJ 964判断地下水水位或土壤影响范围内分布有天然林、公益林、湿地等生态保护目标的建设项目，生态影响评价等级不低于二级；</w:t>
            </w:r>
          </w:p>
          <w:p w14:paraId="7192DDB6">
            <w:pPr>
              <w:spacing w:line="360" w:lineRule="auto"/>
              <w:ind w:firstLine="480" w:firstLineChars="200"/>
              <w:rPr>
                <w:color w:val="auto"/>
                <w:sz w:val="24"/>
              </w:rPr>
            </w:pPr>
            <w:r>
              <w:rPr>
                <w:color w:val="auto"/>
                <w:sz w:val="24"/>
              </w:rPr>
              <w:t>f）当工程占地规模大于20km</w:t>
            </w:r>
            <w:r>
              <w:rPr>
                <w:color w:val="auto"/>
                <w:sz w:val="24"/>
                <w:vertAlign w:val="superscript"/>
              </w:rPr>
              <w:t>2</w:t>
            </w:r>
            <w:r>
              <w:rPr>
                <w:color w:val="auto"/>
                <w:sz w:val="24"/>
              </w:rPr>
              <w:t>时（包括永久和临时占用陆域和水域），评价等级不低于二级；改扩建项目的占地范围以新增占地（包括陆域和水域）确定；</w:t>
            </w:r>
          </w:p>
          <w:p w14:paraId="5BD0299C">
            <w:pPr>
              <w:spacing w:line="360" w:lineRule="auto"/>
              <w:ind w:firstLine="480" w:firstLineChars="200"/>
              <w:rPr>
                <w:color w:val="auto"/>
                <w:sz w:val="24"/>
              </w:rPr>
            </w:pPr>
            <w:r>
              <w:rPr>
                <w:color w:val="auto"/>
                <w:sz w:val="24"/>
              </w:rPr>
              <w:t>g）除本条 a）、b）、c）、d）、e）、f）以外的情况，评价等级为三级。</w:t>
            </w:r>
          </w:p>
          <w:p w14:paraId="5CF6FDA3">
            <w:pPr>
              <w:spacing w:line="360" w:lineRule="auto"/>
              <w:ind w:firstLine="480" w:firstLineChars="200"/>
              <w:rPr>
                <w:rFonts w:eastAsia="宋体"/>
                <w:color w:val="auto"/>
                <w:sz w:val="24"/>
              </w:rPr>
            </w:pPr>
            <w:r>
              <w:rPr>
                <w:rFonts w:eastAsia="宋体"/>
                <w:color w:val="auto"/>
                <w:sz w:val="24"/>
              </w:rPr>
              <w:t xml:space="preserve">e）在矿山开采可能导致矿区土地利用类型明显改变，或拦河闸坝建设可能明显改变水文情势等情况下，评价等级应上调一级。 </w:t>
            </w:r>
          </w:p>
          <w:p w14:paraId="4F548D69">
            <w:pPr>
              <w:spacing w:line="360" w:lineRule="auto"/>
              <w:ind w:firstLine="480" w:firstLineChars="200"/>
              <w:rPr>
                <w:rFonts w:hint="eastAsia" w:eastAsia="宋体"/>
                <w:color w:val="auto"/>
                <w:sz w:val="24"/>
                <w:lang w:val="en-US" w:eastAsia="zh-CN"/>
              </w:rPr>
            </w:pPr>
            <w:r>
              <w:rPr>
                <w:rFonts w:hint="eastAsia"/>
                <w:color w:val="auto"/>
                <w:sz w:val="24"/>
                <w:lang w:val="en-US" w:eastAsia="zh-CN"/>
              </w:rPr>
              <w:t>本项目位于</w:t>
            </w:r>
            <w:r>
              <w:rPr>
                <w:rFonts w:hint="eastAsia"/>
                <w:color w:val="auto"/>
                <w:sz w:val="24"/>
              </w:rPr>
              <w:t>内蒙古自治区呼伦贝尔市鄂温克族自治旗</w:t>
            </w:r>
            <w:r>
              <w:rPr>
                <w:rFonts w:hint="eastAsia"/>
                <w:color w:val="auto"/>
                <w:sz w:val="24"/>
                <w:lang w:val="en-US" w:eastAsia="zh-CN"/>
              </w:rPr>
              <w:t>锡尼河东苏木敏东一矿工业场地内，</w:t>
            </w:r>
            <w:r>
              <w:rPr>
                <w:rFonts w:hint="eastAsia"/>
                <w:color w:val="auto"/>
                <w:sz w:val="24"/>
              </w:rPr>
              <w:t>缓坡斜井场地内新增工业建（构）筑物主要包括：缓坡斜井井口房、空气加热室、值班配电室、无轨胶轮车库及保养间、综合管沟等地，新增主要工业建（构）筑物建筑面积</w:t>
            </w:r>
            <w:r>
              <w:rPr>
                <w:color w:val="auto"/>
                <w:sz w:val="24"/>
              </w:rPr>
              <w:t>3253.4</w:t>
            </w:r>
            <w:r>
              <w:rPr>
                <w:rFonts w:hint="eastAsia"/>
                <w:color w:val="auto"/>
                <w:sz w:val="24"/>
              </w:rPr>
              <w:t>m</w:t>
            </w:r>
            <w:r>
              <w:rPr>
                <w:rFonts w:hint="eastAsia"/>
                <w:color w:val="auto"/>
                <w:sz w:val="24"/>
                <w:vertAlign w:val="superscript"/>
              </w:rPr>
              <w:t>2</w:t>
            </w:r>
            <w:r>
              <w:rPr>
                <w:rFonts w:hint="eastAsia"/>
                <w:color w:val="auto"/>
                <w:sz w:val="24"/>
                <w:lang w:eastAsia="zh-CN"/>
              </w:rPr>
              <w:t>，本次</w:t>
            </w:r>
            <w:r>
              <w:rPr>
                <w:rFonts w:hint="eastAsia"/>
                <w:color w:val="auto"/>
                <w:sz w:val="24"/>
                <w:lang w:val="en-US" w:eastAsia="zh-CN"/>
              </w:rPr>
              <w:t>不新增占地。对周围生态环境影响较小</w:t>
            </w:r>
            <w:r>
              <w:rPr>
                <w:rFonts w:hint="eastAsia" w:eastAsia="Times New Roman"/>
                <w:color w:val="auto"/>
                <w:sz w:val="24"/>
                <w:szCs w:val="24"/>
                <w:lang w:val="en-US" w:eastAsia="zh-CN"/>
              </w:rPr>
              <w:t>。</w:t>
            </w:r>
          </w:p>
          <w:p w14:paraId="71BE77C2">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解译以20</w:t>
            </w:r>
            <w:r>
              <w:rPr>
                <w:rFonts w:hint="eastAsia" w:ascii="Times New Roman" w:hAnsi="Times New Roman" w:eastAsia="宋体" w:cs="Times New Roman"/>
                <w:color w:val="auto"/>
                <w:sz w:val="24"/>
                <w:lang w:val="en-US" w:eastAsia="zh-CN"/>
              </w:rPr>
              <w:t>24</w:t>
            </w:r>
            <w:r>
              <w:rPr>
                <w:rFonts w:hint="eastAsia" w:ascii="Times New Roman" w:hAnsi="Times New Roman" w:eastAsia="宋体" w:cs="Times New Roman"/>
                <w:color w:val="auto"/>
                <w:sz w:val="24"/>
              </w:rPr>
              <w:t>年</w:t>
            </w:r>
            <w:r>
              <w:rPr>
                <w:rFonts w:hint="eastAsia" w:ascii="Times New Roman" w:hAnsi="Times New Roman" w:eastAsia="宋体" w:cs="Times New Roman"/>
                <w:color w:val="auto"/>
                <w:sz w:val="24"/>
                <w:lang w:val="en-US" w:eastAsia="zh-CN"/>
              </w:rPr>
              <w:t>8</w:t>
            </w:r>
            <w:r>
              <w:rPr>
                <w:rFonts w:hint="eastAsia" w:ascii="Times New Roman" w:hAnsi="Times New Roman" w:eastAsia="宋体" w:cs="Times New Roman"/>
                <w:color w:val="auto"/>
                <w:sz w:val="24"/>
              </w:rPr>
              <w:t>月</w:t>
            </w:r>
            <w:r>
              <w:rPr>
                <w:rFonts w:hint="eastAsia" w:ascii="Times New Roman" w:hAnsi="Times New Roman" w:eastAsia="宋体" w:cs="Times New Roman"/>
                <w:color w:val="auto"/>
                <w:sz w:val="24"/>
                <w:lang w:val="en-US" w:eastAsia="zh-CN"/>
              </w:rPr>
              <w:t>23日</w:t>
            </w:r>
            <w:r>
              <w:rPr>
                <w:rFonts w:hint="eastAsia" w:ascii="Times New Roman" w:hAnsi="Times New Roman" w:eastAsia="宋体" w:cs="Times New Roman"/>
                <w:color w:val="auto"/>
                <w:sz w:val="24"/>
              </w:rPr>
              <w:t>的</w:t>
            </w:r>
            <w:r>
              <w:rPr>
                <w:rFonts w:hint="eastAsia" w:ascii="Times New Roman" w:hAnsi="Times New Roman" w:eastAsia="宋体" w:cs="Times New Roman"/>
                <w:color w:val="auto"/>
                <w:sz w:val="24"/>
                <w:lang w:val="en-US" w:eastAsia="zh-CN"/>
              </w:rPr>
              <w:t>哨兵2号卫星</w:t>
            </w:r>
            <w:r>
              <w:rPr>
                <w:rFonts w:hint="eastAsia" w:ascii="Times New Roman" w:hAnsi="Times New Roman" w:eastAsia="宋体" w:cs="Times New Roman"/>
                <w:color w:val="auto"/>
                <w:sz w:val="24"/>
              </w:rPr>
              <w:t>（Sentinel-2）空间分辨率</w:t>
            </w:r>
            <w:r>
              <w:rPr>
                <w:rFonts w:hint="eastAsia" w:ascii="Times New Roman" w:hAnsi="Times New Roman" w:eastAsia="宋体" w:cs="Times New Roman"/>
                <w:color w:val="auto"/>
                <w:sz w:val="24"/>
                <w:lang w:val="en-US" w:eastAsia="zh-CN"/>
              </w:rPr>
              <w:t>10</w:t>
            </w:r>
            <w:r>
              <w:rPr>
                <w:rFonts w:hint="eastAsia" w:ascii="Times New Roman" w:hAnsi="Times New Roman" w:eastAsia="宋体" w:cs="Times New Roman"/>
                <w:color w:val="auto"/>
                <w:sz w:val="24"/>
              </w:rPr>
              <w:t>m影像数据作为基本信息源，经过融合处理后的图像地表信息丰富，有利于生态环境因子遥感解译标志的建立，保证了各生态环境要素解译成果的准确性。</w:t>
            </w:r>
          </w:p>
          <w:p w14:paraId="265CC2E8">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在</w:t>
            </w:r>
            <w:r>
              <w:rPr>
                <w:rFonts w:hint="eastAsia" w:ascii="Times New Roman" w:hAnsi="Times New Roman" w:eastAsia="宋体" w:cs="Times New Roman"/>
                <w:color w:val="auto"/>
                <w:sz w:val="24"/>
                <w:lang w:val="en-US" w:eastAsia="zh-CN"/>
              </w:rPr>
              <w:t>Envi</w:t>
            </w:r>
            <w:r>
              <w:rPr>
                <w:rFonts w:hint="eastAsia" w:ascii="Times New Roman" w:hAnsi="Times New Roman" w:eastAsia="宋体" w:cs="Times New Roman"/>
                <w:color w:val="auto"/>
                <w:sz w:val="24"/>
              </w:rPr>
              <w:t>、Arcgis等遥感图像处理软件的支持下，对影像数据进行了投影转换、几何纠正、直方图匹配等影像预处理。根据土地利用现状、植被类型等生态环境要素的地物光谱特征的差异性，</w:t>
            </w:r>
            <w:r>
              <w:rPr>
                <w:rFonts w:hint="eastAsia" w:ascii="Times New Roman" w:hAnsi="Times New Roman" w:eastAsia="宋体" w:cs="Times New Roman"/>
                <w:color w:val="auto"/>
                <w:sz w:val="24"/>
                <w:lang w:val="en-US" w:eastAsia="zh-CN"/>
              </w:rPr>
              <w:t>选择4（红外）、3（红光）、2（绿光）波段组合成标准假彩色影像</w:t>
            </w:r>
            <w:r>
              <w:rPr>
                <w:rFonts w:hint="eastAsia" w:ascii="Times New Roman" w:hAnsi="Times New Roman" w:eastAsia="宋体" w:cs="Times New Roman"/>
                <w:color w:val="auto"/>
                <w:sz w:val="24"/>
              </w:rPr>
              <w:t>，合成图像色彩丰富、层次分明，地类边界明显，有利于生态要素的判读解译。</w:t>
            </w:r>
          </w:p>
          <w:p w14:paraId="0833FE2A">
            <w:pPr>
              <w:spacing w:line="360" w:lineRule="auto"/>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drawing>
                <wp:inline distT="0" distB="0" distL="114300" distR="114300">
                  <wp:extent cx="5215255" cy="3690620"/>
                  <wp:effectExtent l="0" t="0" r="12065" b="12700"/>
                  <wp:docPr id="3" name="图片 3" descr="b13c387064e79916cd18b9eb127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13c387064e79916cd18b9eb1271470"/>
                          <pic:cNvPicPr>
                            <a:picLocks noChangeAspect="1"/>
                          </pic:cNvPicPr>
                        </pic:nvPicPr>
                        <pic:blipFill>
                          <a:blip r:embed="rId18"/>
                          <a:stretch>
                            <a:fillRect/>
                          </a:stretch>
                        </pic:blipFill>
                        <pic:spPr>
                          <a:xfrm>
                            <a:off x="0" y="0"/>
                            <a:ext cx="5215255" cy="3690620"/>
                          </a:xfrm>
                          <a:prstGeom prst="rect">
                            <a:avLst/>
                          </a:prstGeom>
                        </pic:spPr>
                      </pic:pic>
                    </a:graphicData>
                  </a:graphic>
                </wp:inline>
              </w:drawing>
            </w:r>
          </w:p>
          <w:p w14:paraId="5DD0A707">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图3-3    遥感影像图</w:t>
            </w:r>
          </w:p>
          <w:p w14:paraId="3349F928">
            <w:pPr>
              <w:spacing w:line="360" w:lineRule="auto"/>
              <w:ind w:firstLine="480" w:firstLineChars="200"/>
              <w:rPr>
                <w:rFonts w:hint="default" w:eastAsia="宋体"/>
                <w:color w:val="auto"/>
                <w:sz w:val="24"/>
                <w:lang w:val="en-US" w:eastAsia="zh-CN"/>
              </w:rPr>
            </w:pPr>
            <w:r>
              <w:rPr>
                <w:rFonts w:hint="eastAsia"/>
                <w:color w:val="auto"/>
                <w:sz w:val="24"/>
                <w:lang w:val="en-US" w:eastAsia="zh-CN"/>
              </w:rPr>
              <w:t>3.</w:t>
            </w:r>
            <w:bookmarkStart w:id="4" w:name="_Toc305"/>
            <w:r>
              <w:rPr>
                <w:rFonts w:hint="eastAsia"/>
                <w:color w:val="auto"/>
                <w:sz w:val="24"/>
                <w:lang w:val="en-US" w:eastAsia="zh-CN"/>
              </w:rPr>
              <w:t>2.1</w:t>
            </w:r>
            <w:bookmarkEnd w:id="4"/>
            <w:r>
              <w:rPr>
                <w:rFonts w:hint="default" w:ascii="Times New Roman" w:hAnsi="Times New Roman" w:eastAsia="宋体" w:cs="Times New Roman"/>
                <w:color w:val="auto"/>
                <w:sz w:val="24"/>
                <w:szCs w:val="24"/>
                <w:lang w:val="zh-CN"/>
              </w:rPr>
              <w:t>土地利用类型</w:t>
            </w:r>
            <w:r>
              <w:rPr>
                <w:rFonts w:hint="eastAsia" w:ascii="Times New Roman" w:hAnsi="Times New Roman" w:eastAsia="宋体" w:cs="Times New Roman"/>
                <w:color w:val="auto"/>
                <w:sz w:val="24"/>
                <w:szCs w:val="24"/>
                <w:lang w:val="en-US" w:eastAsia="zh-CN"/>
              </w:rPr>
              <w:t>及植被类型</w:t>
            </w:r>
          </w:p>
          <w:p w14:paraId="3547D424">
            <w:pPr>
              <w:spacing w:line="360" w:lineRule="auto"/>
              <w:ind w:firstLine="480" w:firstLineChars="200"/>
              <w:rPr>
                <w:rFonts w:hint="eastAsia" w:ascii="Times New Roman" w:hAnsi="Times New Roman" w:eastAsia="宋体" w:cs="Times New Roman"/>
                <w:color w:val="auto"/>
                <w:sz w:val="24"/>
                <w:szCs w:val="24"/>
                <w:lang w:val="en-US" w:eastAsia="zh-CN"/>
              </w:rPr>
            </w:pPr>
            <w:r>
              <w:rPr>
                <w:rFonts w:eastAsia="宋体"/>
                <w:color w:val="auto"/>
                <w:sz w:val="24"/>
                <w:lang w:val="zh-CN"/>
              </w:rPr>
              <w:t>根据</w:t>
            </w:r>
            <w:r>
              <w:rPr>
                <w:rFonts w:hint="default" w:ascii="Times New Roman" w:hAnsi="Times New Roman" w:eastAsia="宋体" w:cs="Times New Roman"/>
                <w:color w:val="auto"/>
                <w:sz w:val="24"/>
                <w:szCs w:val="24"/>
                <w:lang w:val="zh-CN"/>
              </w:rPr>
              <w:t>遥感调查分析，评价区土地利用类型</w:t>
            </w:r>
            <w:r>
              <w:rPr>
                <w:rFonts w:hint="eastAsia" w:ascii="Times New Roman" w:hAnsi="Times New Roman" w:eastAsia="宋体" w:cs="Times New Roman"/>
                <w:color w:val="auto"/>
                <w:sz w:val="24"/>
                <w:szCs w:val="24"/>
                <w:lang w:val="en-US" w:eastAsia="zh-CN"/>
              </w:rPr>
              <w:t>及植被类型</w:t>
            </w:r>
            <w:r>
              <w:rPr>
                <w:rFonts w:hint="default" w:ascii="Times New Roman" w:hAnsi="Times New Roman" w:eastAsia="宋体" w:cs="Times New Roman"/>
                <w:color w:val="auto"/>
                <w:sz w:val="24"/>
                <w:szCs w:val="24"/>
                <w:lang w:val="zh-CN"/>
              </w:rPr>
              <w:t>见表</w:t>
            </w:r>
            <w:r>
              <w:rPr>
                <w:rFonts w:hint="eastAsia" w:ascii="Times New Roman" w:hAnsi="Times New Roman" w:eastAsia="宋体" w:cs="Times New Roman"/>
                <w:color w:val="auto"/>
                <w:sz w:val="24"/>
                <w:szCs w:val="24"/>
                <w:lang w:val="en-US" w:eastAsia="zh-CN"/>
              </w:rPr>
              <w:t>3-7。</w:t>
            </w:r>
          </w:p>
          <w:p w14:paraId="0B2090E1">
            <w:pPr>
              <w:spacing w:line="360" w:lineRule="auto"/>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 xml:space="preserve">表3-7    </w:t>
            </w:r>
            <w:r>
              <w:rPr>
                <w:rFonts w:hint="default" w:ascii="Times New Roman" w:hAnsi="Times New Roman" w:eastAsia="宋体" w:cs="Times New Roman"/>
                <w:b/>
                <w:bCs/>
                <w:color w:val="auto"/>
                <w:szCs w:val="21"/>
                <w:lang w:val="zh-CN" w:eastAsia="zh-CN"/>
              </w:rPr>
              <w:t>土地利用类型</w:t>
            </w:r>
            <w:r>
              <w:rPr>
                <w:rFonts w:hint="eastAsia" w:ascii="Times New Roman" w:hAnsi="Times New Roman" w:eastAsia="宋体" w:cs="Times New Roman"/>
                <w:b/>
                <w:bCs/>
                <w:color w:val="auto"/>
                <w:szCs w:val="21"/>
                <w:lang w:val="en-US" w:eastAsia="zh-CN"/>
              </w:rPr>
              <w:t>及植被类型统计表</w:t>
            </w:r>
          </w:p>
          <w:tbl>
            <w:tblPr>
              <w:tblStyle w:val="19"/>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964"/>
              <w:gridCol w:w="2897"/>
              <w:gridCol w:w="2516"/>
            </w:tblGrid>
            <w:tr w14:paraId="5C428D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C0C0C0"/>
                  <w:noWrap/>
                  <w:vAlign w:val="center"/>
                </w:tcPr>
                <w:p w14:paraId="4AAE3E36">
                  <w:pPr>
                    <w:keepNext w:val="0"/>
                    <w:keepLines w:val="0"/>
                    <w:widowControl/>
                    <w:suppressLineNumbers w:val="0"/>
                    <w:jc w:val="center"/>
                    <w:textAlignment w:val="bottom"/>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土地利用类型</w:t>
                  </w:r>
                </w:p>
              </w:tc>
              <w:tc>
                <w:tcPr>
                  <w:tcW w:w="1729" w:type="pct"/>
                  <w:tcBorders>
                    <w:tl2br w:val="nil"/>
                    <w:tr2bl w:val="nil"/>
                  </w:tcBorders>
                  <w:shd w:val="clear" w:color="auto" w:fill="C0C0C0"/>
                  <w:noWrap/>
                  <w:vAlign w:val="center"/>
                </w:tcPr>
                <w:p w14:paraId="010B882D">
                  <w:pPr>
                    <w:keepNext w:val="0"/>
                    <w:keepLines w:val="0"/>
                    <w:widowControl/>
                    <w:suppressLineNumbers w:val="0"/>
                    <w:jc w:val="center"/>
                    <w:textAlignment w:val="bottom"/>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植被类型</w:t>
                  </w:r>
                </w:p>
              </w:tc>
              <w:tc>
                <w:tcPr>
                  <w:tcW w:w="1501" w:type="pct"/>
                  <w:tcBorders>
                    <w:tl2br w:val="nil"/>
                    <w:tr2bl w:val="nil"/>
                  </w:tcBorders>
                  <w:shd w:val="clear" w:color="auto" w:fill="C0C0C0"/>
                  <w:noWrap/>
                  <w:vAlign w:val="center"/>
                </w:tcPr>
                <w:p w14:paraId="394643CD">
                  <w:pPr>
                    <w:keepNext w:val="0"/>
                    <w:keepLines w:val="0"/>
                    <w:widowControl/>
                    <w:suppressLineNumbers w:val="0"/>
                    <w:jc w:val="center"/>
                    <w:textAlignment w:val="bottom"/>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面积（公顷）</w:t>
                  </w:r>
                </w:p>
              </w:tc>
            </w:tr>
            <w:tr w14:paraId="055820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3DC67699">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采矿用地</w:t>
                  </w:r>
                </w:p>
              </w:tc>
              <w:tc>
                <w:tcPr>
                  <w:tcW w:w="1729" w:type="pct"/>
                  <w:tcBorders>
                    <w:tl2br w:val="nil"/>
                    <w:tr2bl w:val="nil"/>
                  </w:tcBorders>
                  <w:shd w:val="clear" w:color="auto" w:fill="auto"/>
                  <w:noWrap/>
                  <w:vAlign w:val="center"/>
                </w:tcPr>
                <w:p w14:paraId="0B9EE726">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058FB7FC">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20.0451</w:t>
                  </w:r>
                </w:p>
              </w:tc>
            </w:tr>
            <w:tr w14:paraId="393E63D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24566CF8">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工业用地</w:t>
                  </w:r>
                </w:p>
              </w:tc>
              <w:tc>
                <w:tcPr>
                  <w:tcW w:w="1729" w:type="pct"/>
                  <w:tcBorders>
                    <w:tl2br w:val="nil"/>
                    <w:tr2bl w:val="nil"/>
                  </w:tcBorders>
                  <w:shd w:val="clear" w:color="auto" w:fill="auto"/>
                  <w:noWrap/>
                  <w:vAlign w:val="center"/>
                </w:tcPr>
                <w:p w14:paraId="73F12B7A">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3C22D3BE">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0.0935</w:t>
                  </w:r>
                </w:p>
              </w:tc>
            </w:tr>
            <w:tr w14:paraId="253D85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21688BA6">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工业用地</w:t>
                  </w:r>
                </w:p>
              </w:tc>
              <w:tc>
                <w:tcPr>
                  <w:tcW w:w="1729" w:type="pct"/>
                  <w:tcBorders>
                    <w:tl2br w:val="nil"/>
                    <w:tr2bl w:val="nil"/>
                  </w:tcBorders>
                  <w:shd w:val="clear" w:color="auto" w:fill="auto"/>
                  <w:noWrap/>
                  <w:vAlign w:val="center"/>
                </w:tcPr>
                <w:p w14:paraId="0CA2CA89">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62906BE0">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0.1756</w:t>
                  </w:r>
                </w:p>
              </w:tc>
            </w:tr>
            <w:tr w14:paraId="300743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28B4E0AB">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公路用地</w:t>
                  </w:r>
                </w:p>
              </w:tc>
              <w:tc>
                <w:tcPr>
                  <w:tcW w:w="1729" w:type="pct"/>
                  <w:tcBorders>
                    <w:tl2br w:val="nil"/>
                    <w:tr2bl w:val="nil"/>
                  </w:tcBorders>
                  <w:shd w:val="clear" w:color="auto" w:fill="auto"/>
                  <w:noWrap/>
                  <w:vAlign w:val="center"/>
                </w:tcPr>
                <w:p w14:paraId="68BBD41E">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71F7D0C7">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0.3481</w:t>
                  </w:r>
                </w:p>
              </w:tc>
            </w:tr>
            <w:tr w14:paraId="5C06E8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51D06470">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裸土地</w:t>
                  </w:r>
                </w:p>
              </w:tc>
              <w:tc>
                <w:tcPr>
                  <w:tcW w:w="1729" w:type="pct"/>
                  <w:tcBorders>
                    <w:tl2br w:val="nil"/>
                    <w:tr2bl w:val="nil"/>
                  </w:tcBorders>
                  <w:shd w:val="clear" w:color="auto" w:fill="auto"/>
                  <w:noWrap/>
                  <w:vAlign w:val="center"/>
                </w:tcPr>
                <w:p w14:paraId="16CB6E00">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4422FDFD">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2.9278</w:t>
                  </w:r>
                </w:p>
              </w:tc>
            </w:tr>
            <w:tr w14:paraId="29DC27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52A2F5A2">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裸土地</w:t>
                  </w:r>
                </w:p>
              </w:tc>
              <w:tc>
                <w:tcPr>
                  <w:tcW w:w="1729" w:type="pct"/>
                  <w:tcBorders>
                    <w:tl2br w:val="nil"/>
                    <w:tr2bl w:val="nil"/>
                  </w:tcBorders>
                  <w:shd w:val="clear" w:color="auto" w:fill="auto"/>
                  <w:noWrap/>
                  <w:vAlign w:val="center"/>
                </w:tcPr>
                <w:p w14:paraId="43F096BA">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0B524156">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1.1230</w:t>
                  </w:r>
                </w:p>
              </w:tc>
            </w:tr>
            <w:tr w14:paraId="7D94431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669E33ED">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裸土地</w:t>
                  </w:r>
                </w:p>
              </w:tc>
              <w:tc>
                <w:tcPr>
                  <w:tcW w:w="1729" w:type="pct"/>
                  <w:tcBorders>
                    <w:tl2br w:val="nil"/>
                    <w:tr2bl w:val="nil"/>
                  </w:tcBorders>
                  <w:shd w:val="clear" w:color="auto" w:fill="auto"/>
                  <w:noWrap/>
                  <w:vAlign w:val="center"/>
                </w:tcPr>
                <w:p w14:paraId="18B8E935">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5F630D77">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0.4969</w:t>
                  </w:r>
                </w:p>
              </w:tc>
            </w:tr>
            <w:tr w14:paraId="6B0D4F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338466D0">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裸土地</w:t>
                  </w:r>
                </w:p>
              </w:tc>
              <w:tc>
                <w:tcPr>
                  <w:tcW w:w="1729" w:type="pct"/>
                  <w:tcBorders>
                    <w:tl2br w:val="nil"/>
                    <w:tr2bl w:val="nil"/>
                  </w:tcBorders>
                  <w:shd w:val="clear" w:color="auto" w:fill="auto"/>
                  <w:noWrap/>
                  <w:vAlign w:val="center"/>
                </w:tcPr>
                <w:p w14:paraId="30F90ECB">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21CB3792">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0.1126</w:t>
                  </w:r>
                </w:p>
              </w:tc>
            </w:tr>
            <w:tr w14:paraId="4A62EE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25A4738B">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农村道路</w:t>
                  </w:r>
                </w:p>
              </w:tc>
              <w:tc>
                <w:tcPr>
                  <w:tcW w:w="1729" w:type="pct"/>
                  <w:tcBorders>
                    <w:tl2br w:val="nil"/>
                    <w:tr2bl w:val="nil"/>
                  </w:tcBorders>
                  <w:shd w:val="clear" w:color="auto" w:fill="auto"/>
                  <w:noWrap/>
                  <w:vAlign w:val="center"/>
                </w:tcPr>
                <w:p w14:paraId="24D23572">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2300C58C">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0.7375</w:t>
                  </w:r>
                </w:p>
              </w:tc>
            </w:tr>
            <w:tr w14:paraId="7DE28C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1A3088EC">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农村道路</w:t>
                  </w:r>
                </w:p>
              </w:tc>
              <w:tc>
                <w:tcPr>
                  <w:tcW w:w="1729" w:type="pct"/>
                  <w:tcBorders>
                    <w:tl2br w:val="nil"/>
                    <w:tr2bl w:val="nil"/>
                  </w:tcBorders>
                  <w:shd w:val="clear" w:color="auto" w:fill="auto"/>
                  <w:noWrap/>
                  <w:vAlign w:val="center"/>
                </w:tcPr>
                <w:p w14:paraId="24CB3784">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无植被区</w:t>
                  </w:r>
                </w:p>
              </w:tc>
              <w:tc>
                <w:tcPr>
                  <w:tcW w:w="1501" w:type="pct"/>
                  <w:tcBorders>
                    <w:tl2br w:val="nil"/>
                    <w:tr2bl w:val="nil"/>
                  </w:tcBorders>
                  <w:shd w:val="clear" w:color="auto" w:fill="auto"/>
                  <w:noWrap/>
                  <w:vAlign w:val="center"/>
                </w:tcPr>
                <w:p w14:paraId="23D55017">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0.3448</w:t>
                  </w:r>
                </w:p>
              </w:tc>
            </w:tr>
            <w:tr w14:paraId="0C115D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1CB85F8E">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天然牧草地</w:t>
                  </w:r>
                </w:p>
              </w:tc>
              <w:tc>
                <w:tcPr>
                  <w:tcW w:w="1729" w:type="pct"/>
                  <w:tcBorders>
                    <w:tl2br w:val="nil"/>
                    <w:tr2bl w:val="nil"/>
                  </w:tcBorders>
                  <w:shd w:val="clear" w:color="auto" w:fill="auto"/>
                  <w:noWrap/>
                  <w:vAlign w:val="center"/>
                </w:tcPr>
                <w:p w14:paraId="717DBA54">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大针茅群落</w:t>
                  </w:r>
                </w:p>
              </w:tc>
              <w:tc>
                <w:tcPr>
                  <w:tcW w:w="1501" w:type="pct"/>
                  <w:tcBorders>
                    <w:tl2br w:val="nil"/>
                    <w:tr2bl w:val="nil"/>
                  </w:tcBorders>
                  <w:shd w:val="clear" w:color="auto" w:fill="auto"/>
                  <w:noWrap/>
                  <w:vAlign w:val="center"/>
                </w:tcPr>
                <w:p w14:paraId="7E6EF900">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22.2162</w:t>
                  </w:r>
                </w:p>
              </w:tc>
            </w:tr>
            <w:tr w14:paraId="09EC1C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0CEBFC18">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天然牧草地</w:t>
                  </w:r>
                </w:p>
              </w:tc>
              <w:tc>
                <w:tcPr>
                  <w:tcW w:w="1729" w:type="pct"/>
                  <w:tcBorders>
                    <w:tl2br w:val="nil"/>
                    <w:tr2bl w:val="nil"/>
                  </w:tcBorders>
                  <w:shd w:val="clear" w:color="auto" w:fill="auto"/>
                  <w:noWrap/>
                  <w:vAlign w:val="center"/>
                </w:tcPr>
                <w:p w14:paraId="4E67A688">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大针茅群落</w:t>
                  </w:r>
                </w:p>
              </w:tc>
              <w:tc>
                <w:tcPr>
                  <w:tcW w:w="1501" w:type="pct"/>
                  <w:tcBorders>
                    <w:tl2br w:val="nil"/>
                    <w:tr2bl w:val="nil"/>
                  </w:tcBorders>
                  <w:shd w:val="clear" w:color="auto" w:fill="auto"/>
                  <w:noWrap/>
                  <w:vAlign w:val="center"/>
                </w:tcPr>
                <w:p w14:paraId="4F2BCF0D">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9.5189</w:t>
                  </w:r>
                </w:p>
              </w:tc>
            </w:tr>
            <w:tr w14:paraId="36694E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294A12A8">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天然牧草地</w:t>
                  </w:r>
                </w:p>
              </w:tc>
              <w:tc>
                <w:tcPr>
                  <w:tcW w:w="1729" w:type="pct"/>
                  <w:tcBorders>
                    <w:tl2br w:val="nil"/>
                    <w:tr2bl w:val="nil"/>
                  </w:tcBorders>
                  <w:shd w:val="clear" w:color="auto" w:fill="auto"/>
                  <w:noWrap/>
                  <w:vAlign w:val="center"/>
                </w:tcPr>
                <w:p w14:paraId="13C6A9EC">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大针茅群落</w:t>
                  </w:r>
                </w:p>
              </w:tc>
              <w:tc>
                <w:tcPr>
                  <w:tcW w:w="1501" w:type="pct"/>
                  <w:tcBorders>
                    <w:tl2br w:val="nil"/>
                    <w:tr2bl w:val="nil"/>
                  </w:tcBorders>
                  <w:shd w:val="clear" w:color="auto" w:fill="auto"/>
                  <w:noWrap/>
                  <w:vAlign w:val="center"/>
                </w:tcPr>
                <w:p w14:paraId="49E30657">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10.3467</w:t>
                  </w:r>
                </w:p>
              </w:tc>
            </w:tr>
            <w:tr w14:paraId="00555C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3F422B62">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天然牧草地</w:t>
                  </w:r>
                </w:p>
              </w:tc>
              <w:tc>
                <w:tcPr>
                  <w:tcW w:w="1729" w:type="pct"/>
                  <w:tcBorders>
                    <w:tl2br w:val="nil"/>
                    <w:tr2bl w:val="nil"/>
                  </w:tcBorders>
                  <w:shd w:val="clear" w:color="auto" w:fill="auto"/>
                  <w:noWrap/>
                  <w:vAlign w:val="center"/>
                </w:tcPr>
                <w:p w14:paraId="1BB0184F">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大针茅群落</w:t>
                  </w:r>
                </w:p>
              </w:tc>
              <w:tc>
                <w:tcPr>
                  <w:tcW w:w="1501" w:type="pct"/>
                  <w:tcBorders>
                    <w:tl2br w:val="nil"/>
                    <w:tr2bl w:val="nil"/>
                  </w:tcBorders>
                  <w:shd w:val="clear" w:color="auto" w:fill="auto"/>
                  <w:noWrap/>
                  <w:vAlign w:val="center"/>
                </w:tcPr>
                <w:p w14:paraId="5E48AAAD">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0.4029</w:t>
                  </w:r>
                </w:p>
              </w:tc>
            </w:tr>
            <w:tr w14:paraId="2659A4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769" w:type="pct"/>
                  <w:tcBorders>
                    <w:tl2br w:val="nil"/>
                    <w:tr2bl w:val="nil"/>
                  </w:tcBorders>
                  <w:shd w:val="clear" w:color="auto" w:fill="auto"/>
                  <w:noWrap/>
                  <w:vAlign w:val="center"/>
                </w:tcPr>
                <w:p w14:paraId="114B821C">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天然牧草地</w:t>
                  </w:r>
                </w:p>
              </w:tc>
              <w:tc>
                <w:tcPr>
                  <w:tcW w:w="1729" w:type="pct"/>
                  <w:tcBorders>
                    <w:tl2br w:val="nil"/>
                    <w:tr2bl w:val="nil"/>
                  </w:tcBorders>
                  <w:shd w:val="clear" w:color="auto" w:fill="auto"/>
                  <w:noWrap/>
                  <w:vAlign w:val="center"/>
                </w:tcPr>
                <w:p w14:paraId="2ED4AFF3">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大针茅群落</w:t>
                  </w:r>
                </w:p>
              </w:tc>
              <w:tc>
                <w:tcPr>
                  <w:tcW w:w="1501" w:type="pct"/>
                  <w:tcBorders>
                    <w:tl2br w:val="nil"/>
                    <w:tr2bl w:val="nil"/>
                  </w:tcBorders>
                  <w:shd w:val="clear" w:color="auto" w:fill="auto"/>
                  <w:noWrap/>
                  <w:vAlign w:val="center"/>
                </w:tcPr>
                <w:p w14:paraId="1586BADB">
                  <w:pPr>
                    <w:keepNext w:val="0"/>
                    <w:keepLines w:val="0"/>
                    <w:widowControl/>
                    <w:suppressLineNumbers w:val="0"/>
                    <w:jc w:val="center"/>
                    <w:textAlignment w:val="bottom"/>
                    <w:rPr>
                      <w:rFonts w:hint="default" w:ascii="Times New Roman" w:hAnsi="Times New Roman"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35.8308</w:t>
                  </w:r>
                </w:p>
              </w:tc>
            </w:tr>
          </w:tbl>
          <w:p w14:paraId="7CA3B334">
            <w:pPr>
              <w:spacing w:line="360" w:lineRule="auto"/>
              <w:ind w:firstLine="480" w:firstLineChars="20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通过上表</w:t>
            </w:r>
            <w:r>
              <w:rPr>
                <w:rFonts w:hint="default" w:ascii="Times New Roman" w:hAnsi="Times New Roman" w:eastAsia="宋体" w:cs="Times New Roman"/>
                <w:color w:val="auto"/>
                <w:sz w:val="24"/>
                <w:szCs w:val="24"/>
                <w:lang w:val="zh-CN" w:eastAsia="zh-CN"/>
              </w:rPr>
              <w:t>可以看出，评价区内主要用地为</w:t>
            </w:r>
            <w:r>
              <w:rPr>
                <w:rFonts w:hint="eastAsia" w:ascii="Times New Roman" w:hAnsi="Times New Roman" w:eastAsia="宋体" w:cs="Times New Roman"/>
                <w:color w:val="auto"/>
                <w:sz w:val="24"/>
                <w:szCs w:val="24"/>
                <w:lang w:val="en-US" w:eastAsia="zh-CN"/>
              </w:rPr>
              <w:t>采矿用地</w:t>
            </w:r>
            <w:r>
              <w:rPr>
                <w:rFonts w:hint="default" w:ascii="Times New Roman" w:hAnsi="Times New Roman" w:eastAsia="宋体" w:cs="Times New Roman"/>
                <w:color w:val="auto"/>
                <w:sz w:val="24"/>
                <w:szCs w:val="24"/>
                <w:lang w:val="zh-CN" w:eastAsia="zh-CN"/>
              </w:rPr>
              <w:t>，用地</w:t>
            </w:r>
            <w:r>
              <w:rPr>
                <w:rFonts w:hint="default" w:ascii="Times New Roman" w:hAnsi="Times New Roman" w:eastAsia="宋体" w:cs="Times New Roman"/>
                <w:color w:val="auto"/>
                <w:sz w:val="24"/>
                <w:szCs w:val="24"/>
                <w:lang w:val="en-US" w:eastAsia="zh-CN"/>
              </w:rPr>
              <w:t>面积为</w:t>
            </w:r>
            <w:r>
              <w:rPr>
                <w:rFonts w:hint="default" w:ascii="Times New Roman" w:hAnsi="Times New Roman" w:eastAsia="宋体" w:cs="Times New Roman"/>
                <w:i w:val="0"/>
                <w:iCs w:val="0"/>
                <w:color w:val="auto"/>
                <w:kern w:val="0"/>
                <w:sz w:val="24"/>
                <w:szCs w:val="24"/>
                <w:u w:val="none"/>
                <w:lang w:val="en-US" w:eastAsia="zh-CN" w:bidi="ar"/>
              </w:rPr>
              <w:t>20.0451</w:t>
            </w:r>
            <w:r>
              <w:rPr>
                <w:rFonts w:hint="default" w:ascii="Times New Roman" w:hAnsi="Times New Roman" w:eastAsia="宋体" w:cs="Times New Roman"/>
                <w:color w:val="auto"/>
                <w:sz w:val="24"/>
                <w:szCs w:val="24"/>
                <w:lang w:val="en-US" w:eastAsia="zh-CN"/>
              </w:rPr>
              <w:t>hm</w:t>
            </w:r>
            <w:r>
              <w:rPr>
                <w:rFonts w:hint="default" w:ascii="Times New Roman" w:hAnsi="Times New Roman" w:eastAsia="宋体"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；评价区植被类型主要为无植被区，占地面积为</w:t>
            </w:r>
            <w:r>
              <w:rPr>
                <w:rFonts w:hint="default" w:ascii="Times New Roman" w:hAnsi="Times New Roman" w:eastAsia="宋体" w:cs="Times New Roman"/>
                <w:i w:val="0"/>
                <w:iCs w:val="0"/>
                <w:color w:val="auto"/>
                <w:kern w:val="0"/>
                <w:sz w:val="24"/>
                <w:szCs w:val="24"/>
                <w:u w:val="none"/>
                <w:lang w:val="en-US" w:eastAsia="zh-CN" w:bidi="ar"/>
              </w:rPr>
              <w:t>1.1230</w:t>
            </w:r>
            <w:r>
              <w:rPr>
                <w:rFonts w:hint="default" w:ascii="Times New Roman" w:hAnsi="Times New Roman" w:eastAsia="宋体" w:cs="Times New Roman"/>
                <w:color w:val="auto"/>
                <w:sz w:val="24"/>
                <w:szCs w:val="24"/>
                <w:lang w:val="en-US" w:eastAsia="zh-CN"/>
              </w:rPr>
              <w:t>hm</w:t>
            </w:r>
            <w:r>
              <w:rPr>
                <w:rFonts w:hint="default" w:ascii="Times New Roman" w:hAnsi="Times New Roman" w:eastAsia="宋体"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w:t>
            </w:r>
          </w:p>
          <w:p w14:paraId="6C330F87">
            <w:pPr>
              <w:spacing w:line="360" w:lineRule="auto"/>
              <w:rPr>
                <w:rFonts w:hint="eastAsia"/>
                <w:color w:val="auto"/>
                <w:sz w:val="24"/>
              </w:rPr>
            </w:pPr>
          </w:p>
          <w:p w14:paraId="38931B2E">
            <w:pPr>
              <w:spacing w:line="360" w:lineRule="auto"/>
              <w:rPr>
                <w:rFonts w:hint="eastAsia"/>
                <w:color w:val="auto"/>
                <w:sz w:val="24"/>
              </w:rPr>
            </w:pPr>
          </w:p>
          <w:p w14:paraId="74A3D16D">
            <w:pPr>
              <w:spacing w:line="360" w:lineRule="auto"/>
              <w:rPr>
                <w:rFonts w:hint="eastAsia"/>
                <w:color w:val="auto"/>
                <w:sz w:val="24"/>
              </w:rPr>
            </w:pPr>
          </w:p>
          <w:p w14:paraId="698EBE51">
            <w:pPr>
              <w:spacing w:line="360" w:lineRule="auto"/>
              <w:rPr>
                <w:rFonts w:hint="eastAsia"/>
                <w:color w:val="auto"/>
                <w:sz w:val="24"/>
              </w:rPr>
            </w:pPr>
          </w:p>
          <w:p w14:paraId="396E7757">
            <w:pPr>
              <w:spacing w:line="360" w:lineRule="auto"/>
              <w:rPr>
                <w:rFonts w:hint="eastAsia"/>
                <w:color w:val="auto"/>
                <w:sz w:val="24"/>
              </w:rPr>
            </w:pPr>
          </w:p>
          <w:p w14:paraId="55A76D77">
            <w:pPr>
              <w:spacing w:line="360" w:lineRule="auto"/>
              <w:rPr>
                <w:rFonts w:hint="eastAsia"/>
                <w:color w:val="auto"/>
                <w:sz w:val="24"/>
              </w:rPr>
            </w:pPr>
          </w:p>
          <w:p w14:paraId="7ED4C640">
            <w:pPr>
              <w:spacing w:line="360" w:lineRule="auto"/>
              <w:rPr>
                <w:rFonts w:hint="eastAsia"/>
                <w:color w:val="auto"/>
                <w:sz w:val="24"/>
              </w:rPr>
            </w:pPr>
          </w:p>
          <w:p w14:paraId="0E841986">
            <w:pPr>
              <w:spacing w:line="360" w:lineRule="auto"/>
              <w:rPr>
                <w:rFonts w:hint="eastAsia"/>
                <w:color w:val="auto"/>
                <w:sz w:val="24"/>
              </w:rPr>
            </w:pPr>
          </w:p>
          <w:p w14:paraId="21F0AA25">
            <w:pPr>
              <w:spacing w:line="360" w:lineRule="auto"/>
              <w:rPr>
                <w:rFonts w:hint="eastAsia"/>
                <w:color w:val="auto"/>
                <w:sz w:val="24"/>
              </w:rPr>
            </w:pPr>
          </w:p>
          <w:p w14:paraId="553BB260">
            <w:pPr>
              <w:spacing w:line="360" w:lineRule="auto"/>
              <w:rPr>
                <w:rFonts w:hint="eastAsia"/>
                <w:color w:val="auto"/>
                <w:sz w:val="24"/>
              </w:rPr>
            </w:pPr>
          </w:p>
          <w:p w14:paraId="15112B7B">
            <w:pPr>
              <w:spacing w:line="360" w:lineRule="auto"/>
              <w:rPr>
                <w:rFonts w:hint="eastAsia"/>
                <w:color w:val="auto"/>
                <w:sz w:val="24"/>
              </w:rPr>
            </w:pPr>
          </w:p>
          <w:p w14:paraId="0E2C70FF">
            <w:pPr>
              <w:spacing w:line="360" w:lineRule="auto"/>
              <w:rPr>
                <w:rFonts w:hint="eastAsia" w:eastAsia="宋体"/>
                <w:color w:val="auto"/>
                <w:sz w:val="24"/>
                <w:lang w:eastAsia="zh-CN"/>
              </w:rPr>
            </w:pPr>
            <w:r>
              <w:rPr>
                <w:rFonts w:hint="eastAsia" w:eastAsia="宋体"/>
                <w:color w:val="auto"/>
                <w:sz w:val="24"/>
                <w:lang w:eastAsia="zh-CN"/>
              </w:rPr>
              <w:drawing>
                <wp:inline distT="0" distB="0" distL="114300" distR="114300">
                  <wp:extent cx="5306060" cy="3754755"/>
                  <wp:effectExtent l="0" t="0" r="12700" b="9525"/>
                  <wp:docPr id="54" name="图片 54" descr="f25df06a617700c9f3f102ae5794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f25df06a617700c9f3f102ae5794ced"/>
                          <pic:cNvPicPr>
                            <a:picLocks noChangeAspect="1"/>
                          </pic:cNvPicPr>
                        </pic:nvPicPr>
                        <pic:blipFill>
                          <a:blip r:embed="rId19"/>
                          <a:stretch>
                            <a:fillRect/>
                          </a:stretch>
                        </pic:blipFill>
                        <pic:spPr>
                          <a:xfrm>
                            <a:off x="0" y="0"/>
                            <a:ext cx="5306060" cy="3754755"/>
                          </a:xfrm>
                          <a:prstGeom prst="rect">
                            <a:avLst/>
                          </a:prstGeom>
                        </pic:spPr>
                      </pic:pic>
                    </a:graphicData>
                  </a:graphic>
                </wp:inline>
              </w:drawing>
            </w:r>
          </w:p>
          <w:p w14:paraId="13E9906F">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图3-4    土地利用类型图</w:t>
            </w:r>
          </w:p>
          <w:p w14:paraId="15346F18">
            <w:pPr>
              <w:spacing w:line="360" w:lineRule="auto"/>
              <w:rPr>
                <w:rFonts w:hint="eastAsia" w:eastAsia="宋体"/>
                <w:color w:val="auto"/>
                <w:sz w:val="24"/>
                <w:lang w:eastAsia="zh-CN"/>
              </w:rPr>
            </w:pPr>
            <w:r>
              <w:rPr>
                <w:rFonts w:hint="eastAsia" w:eastAsia="宋体"/>
                <w:color w:val="auto"/>
                <w:sz w:val="24"/>
                <w:lang w:eastAsia="zh-CN"/>
              </w:rPr>
              <w:drawing>
                <wp:inline distT="0" distB="0" distL="114300" distR="114300">
                  <wp:extent cx="5306060" cy="3754755"/>
                  <wp:effectExtent l="0" t="0" r="12700" b="9525"/>
                  <wp:docPr id="71" name="图片 71" descr="7d0c9286fdfe57b57ef87a169184c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7d0c9286fdfe57b57ef87a169184ca7"/>
                          <pic:cNvPicPr>
                            <a:picLocks noChangeAspect="1"/>
                          </pic:cNvPicPr>
                        </pic:nvPicPr>
                        <pic:blipFill>
                          <a:blip r:embed="rId20"/>
                          <a:stretch>
                            <a:fillRect/>
                          </a:stretch>
                        </pic:blipFill>
                        <pic:spPr>
                          <a:xfrm>
                            <a:off x="0" y="0"/>
                            <a:ext cx="5306060" cy="3754755"/>
                          </a:xfrm>
                          <a:prstGeom prst="rect">
                            <a:avLst/>
                          </a:prstGeom>
                        </pic:spPr>
                      </pic:pic>
                    </a:graphicData>
                  </a:graphic>
                </wp:inline>
              </w:drawing>
            </w:r>
          </w:p>
          <w:p w14:paraId="711AA1B8">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图3-5    植被类型图</w:t>
            </w:r>
          </w:p>
          <w:p w14:paraId="215EF5D2">
            <w:pPr>
              <w:spacing w:line="360" w:lineRule="auto"/>
              <w:ind w:firstLine="480" w:firstLineChars="200"/>
              <w:rPr>
                <w:color w:val="auto"/>
                <w:sz w:val="24"/>
              </w:rPr>
            </w:pPr>
            <w:r>
              <w:rPr>
                <w:rFonts w:hint="eastAsia"/>
                <w:color w:val="auto"/>
                <w:sz w:val="24"/>
              </w:rPr>
              <w:t>根据《内蒙古自治区植物区系分区》，本项目位于欧亚草原植物区-蒙古高原草原植物省-蒙古高原东部州。根据《内蒙古植被地带图》，本项目所在地区为中温型草原带-典型草原亚带。</w:t>
            </w:r>
          </w:p>
          <w:p w14:paraId="10F9242E">
            <w:pPr>
              <w:spacing w:line="360" w:lineRule="auto"/>
              <w:ind w:firstLine="480" w:firstLineChars="200"/>
              <w:rPr>
                <w:color w:val="auto"/>
                <w:sz w:val="24"/>
              </w:rPr>
            </w:pPr>
            <w:r>
              <w:rPr>
                <w:rFonts w:hint="eastAsia"/>
                <w:color w:val="auto"/>
                <w:sz w:val="24"/>
              </w:rPr>
              <w:t>本项目在内蒙古自治区植物区系分区图中的位置、在内蒙古植被地带图中的位置如下：</w:t>
            </w:r>
          </w:p>
          <w:p w14:paraId="2C10D4AE">
            <w:pPr>
              <w:spacing w:line="360" w:lineRule="auto"/>
              <w:jc w:val="center"/>
              <w:rPr>
                <w:color w:val="auto"/>
              </w:rPr>
            </w:pPr>
            <w:r>
              <w:rPr>
                <w:color w:val="auto"/>
              </w:rPr>
              <w:drawing>
                <wp:inline distT="0" distB="0" distL="0" distR="0">
                  <wp:extent cx="4634865" cy="3415665"/>
                  <wp:effectExtent l="0" t="0" r="13335" b="13335"/>
                  <wp:docPr id="8" name="_x0000_i1027"/>
                  <wp:cNvGraphicFramePr/>
                  <a:graphic xmlns:a="http://schemas.openxmlformats.org/drawingml/2006/main">
                    <a:graphicData uri="http://schemas.openxmlformats.org/drawingml/2006/picture">
                      <pic:pic xmlns:pic="http://schemas.openxmlformats.org/drawingml/2006/picture">
                        <pic:nvPicPr>
                          <pic:cNvPr id="8" name="_x0000_i1027"/>
                          <pic:cNvPicPr/>
                        </pic:nvPicPr>
                        <pic:blipFill>
                          <a:blip r:embed="rId21"/>
                          <a:stretch>
                            <a:fillRect/>
                          </a:stretch>
                        </pic:blipFill>
                        <pic:spPr>
                          <a:xfrm>
                            <a:off x="0" y="0"/>
                            <a:ext cx="4634865" cy="3415665"/>
                          </a:xfrm>
                          <a:prstGeom prst="rect">
                            <a:avLst/>
                          </a:prstGeom>
                        </pic:spPr>
                      </pic:pic>
                    </a:graphicData>
                  </a:graphic>
                </wp:inline>
              </w:drawing>
            </w:r>
          </w:p>
          <w:p w14:paraId="7BA20BAF">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图3-</w:t>
            </w:r>
            <w:r>
              <w:rPr>
                <w:rFonts w:hint="eastAsia" w:cs="Times New Roman"/>
                <w:b/>
                <w:bCs/>
                <w:color w:val="auto"/>
                <w:szCs w:val="21"/>
                <w:lang w:val="en-US" w:eastAsia="zh-CN"/>
              </w:rPr>
              <w:t>6</w:t>
            </w:r>
            <w:r>
              <w:rPr>
                <w:rFonts w:hint="eastAsia" w:ascii="Times New Roman" w:hAnsi="Times New Roman" w:eastAsia="宋体" w:cs="Times New Roman"/>
                <w:b/>
                <w:bCs/>
                <w:color w:val="auto"/>
                <w:szCs w:val="21"/>
                <w:lang w:val="en-US" w:eastAsia="zh-CN"/>
              </w:rPr>
              <w:t xml:space="preserve">    本项目位于内蒙古植物区系分区图的位置示意图</w:t>
            </w:r>
          </w:p>
          <w:p w14:paraId="39F44CCC">
            <w:pPr>
              <w:spacing w:line="360" w:lineRule="auto"/>
              <w:jc w:val="center"/>
              <w:rPr>
                <w:color w:val="auto"/>
              </w:rPr>
            </w:pPr>
            <w:r>
              <w:rPr>
                <w:color w:val="auto"/>
              </w:rPr>
              <w:drawing>
                <wp:inline distT="0" distB="0" distL="0" distR="0">
                  <wp:extent cx="4622165" cy="3452495"/>
                  <wp:effectExtent l="0" t="0" r="10795" b="6985"/>
                  <wp:docPr id="9" name="_x0000_i1028"/>
                  <wp:cNvGraphicFramePr/>
                  <a:graphic xmlns:a="http://schemas.openxmlformats.org/drawingml/2006/main">
                    <a:graphicData uri="http://schemas.openxmlformats.org/drawingml/2006/picture">
                      <pic:pic xmlns:pic="http://schemas.openxmlformats.org/drawingml/2006/picture">
                        <pic:nvPicPr>
                          <pic:cNvPr id="9" name="_x0000_i1028"/>
                          <pic:cNvPicPr/>
                        </pic:nvPicPr>
                        <pic:blipFill>
                          <a:blip r:embed="rId22"/>
                          <a:stretch>
                            <a:fillRect/>
                          </a:stretch>
                        </pic:blipFill>
                        <pic:spPr>
                          <a:xfrm>
                            <a:off x="0" y="0"/>
                            <a:ext cx="4622165" cy="3452495"/>
                          </a:xfrm>
                          <a:prstGeom prst="rect">
                            <a:avLst/>
                          </a:prstGeom>
                        </pic:spPr>
                      </pic:pic>
                    </a:graphicData>
                  </a:graphic>
                </wp:inline>
              </w:drawing>
            </w:r>
          </w:p>
          <w:p w14:paraId="6306E9B8">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图3-</w:t>
            </w:r>
            <w:r>
              <w:rPr>
                <w:rFonts w:hint="eastAsia" w:cs="Times New Roman"/>
                <w:b/>
                <w:bCs/>
                <w:color w:val="auto"/>
                <w:szCs w:val="21"/>
                <w:lang w:val="en-US" w:eastAsia="zh-CN"/>
              </w:rPr>
              <w:t>7</w:t>
            </w:r>
            <w:r>
              <w:rPr>
                <w:rFonts w:hint="eastAsia" w:ascii="Times New Roman" w:hAnsi="Times New Roman" w:eastAsia="宋体" w:cs="Times New Roman"/>
                <w:b/>
                <w:bCs/>
                <w:color w:val="auto"/>
                <w:szCs w:val="21"/>
                <w:lang w:val="en-US" w:eastAsia="zh-CN"/>
              </w:rPr>
              <w:t xml:space="preserve">    本项目位于植被地带图的位置图</w:t>
            </w:r>
          </w:p>
          <w:p w14:paraId="63C1D893">
            <w:pPr>
              <w:spacing w:line="360" w:lineRule="auto"/>
              <w:ind w:firstLine="480" w:firstLineChars="200"/>
              <w:rPr>
                <w:rFonts w:hint="eastAsia"/>
                <w:color w:val="auto"/>
                <w:sz w:val="24"/>
                <w:lang w:val="en-US" w:eastAsia="zh-CN"/>
              </w:rPr>
            </w:pPr>
            <w:r>
              <w:rPr>
                <w:rFonts w:hint="eastAsia"/>
                <w:color w:val="auto"/>
                <w:sz w:val="24"/>
                <w:lang w:val="en-US" w:eastAsia="zh-CN"/>
              </w:rPr>
              <w:t>3.2.2动物资源现状与评价</w:t>
            </w:r>
          </w:p>
          <w:p w14:paraId="092A61DA">
            <w:pPr>
              <w:spacing w:line="360" w:lineRule="auto"/>
              <w:ind w:firstLine="480" w:firstLineChars="200"/>
              <w:rPr>
                <w:rFonts w:hint="eastAsia"/>
                <w:color w:val="auto"/>
                <w:sz w:val="24"/>
                <w:lang w:val="en-US" w:eastAsia="zh-CN"/>
              </w:rPr>
            </w:pPr>
            <w:r>
              <w:rPr>
                <w:rFonts w:hint="eastAsia"/>
                <w:color w:val="auto"/>
                <w:sz w:val="24"/>
                <w:lang w:val="en-US" w:eastAsia="zh-CN"/>
              </w:rPr>
              <w:t>项目建设地区由于人类活动的干扰，野生动物组成比较简单，种类较少，经调查，该地区的野生动物约有十几种，主要以鸟类、啮齿类、昆虫类为主，已无大型野生哺乳动物。评价范围内未发现《国家重点保护野生动物名录》（2021年版）、内蒙古自治区人民政府办公厅关于发布于《内蒙古自治区重点保护陆生野生动物名录》（内政办发[2021]78号）中收录的国家重点保护野生动植物、目前未发现珍稀濒危物种、特有种等需要特别保护的物种，评价区常见野生动物名录见表3-8。</w:t>
            </w:r>
          </w:p>
          <w:p w14:paraId="417DAE7D">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表3-</w:t>
            </w:r>
            <w:r>
              <w:rPr>
                <w:rFonts w:hint="eastAsia" w:cs="Times New Roman"/>
                <w:b/>
                <w:bCs/>
                <w:color w:val="auto"/>
                <w:szCs w:val="21"/>
                <w:lang w:val="en-US" w:eastAsia="zh-CN"/>
              </w:rPr>
              <w:t xml:space="preserve">8    </w:t>
            </w:r>
            <w:r>
              <w:rPr>
                <w:rFonts w:hint="eastAsia" w:ascii="Times New Roman" w:hAnsi="Times New Roman" w:eastAsia="宋体" w:cs="Times New Roman"/>
                <w:b/>
                <w:bCs/>
                <w:color w:val="auto"/>
                <w:szCs w:val="21"/>
                <w:lang w:val="en-US" w:eastAsia="zh-CN"/>
              </w:rPr>
              <w:t>主要动物名录</w:t>
            </w:r>
          </w:p>
          <w:tbl>
            <w:tblPr>
              <w:tblStyle w:val="61"/>
              <w:tblW w:w="825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596"/>
              <w:gridCol w:w="2108"/>
              <w:gridCol w:w="846"/>
              <w:gridCol w:w="2843"/>
            </w:tblGrid>
            <w:tr w14:paraId="5B24DE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12" w:space="0"/>
                    <w:left w:val="nil"/>
                    <w:bottom w:val="single" w:color="auto" w:sz="4" w:space="0"/>
                    <w:right w:val="single" w:color="auto" w:sz="4" w:space="0"/>
                  </w:tcBorders>
                  <w:vAlign w:val="center"/>
                </w:tcPr>
                <w:p w14:paraId="068BC30E">
                  <w:pPr>
                    <w:pStyle w:val="57"/>
                    <w:widowControl w:val="0"/>
                    <w:rPr>
                      <w:color w:val="auto"/>
                      <w:sz w:val="21"/>
                      <w:szCs w:val="21"/>
                    </w:rPr>
                  </w:pPr>
                  <w:r>
                    <w:rPr>
                      <w:rFonts w:hint="eastAsia"/>
                      <w:color w:val="auto"/>
                      <w:sz w:val="21"/>
                      <w:szCs w:val="21"/>
                    </w:rPr>
                    <w:t>序号</w:t>
                  </w:r>
                </w:p>
              </w:tc>
              <w:tc>
                <w:tcPr>
                  <w:tcW w:w="966" w:type="pct"/>
                  <w:tcBorders>
                    <w:top w:val="single" w:color="auto" w:sz="12" w:space="0"/>
                    <w:left w:val="single" w:color="auto" w:sz="4" w:space="0"/>
                    <w:bottom w:val="single" w:color="auto" w:sz="4" w:space="0"/>
                    <w:right w:val="single" w:color="auto" w:sz="4" w:space="0"/>
                  </w:tcBorders>
                  <w:vAlign w:val="center"/>
                </w:tcPr>
                <w:p w14:paraId="3926189C">
                  <w:pPr>
                    <w:pStyle w:val="57"/>
                    <w:widowControl w:val="0"/>
                    <w:rPr>
                      <w:color w:val="auto"/>
                      <w:sz w:val="21"/>
                      <w:szCs w:val="21"/>
                    </w:rPr>
                  </w:pPr>
                  <w:r>
                    <w:rPr>
                      <w:rFonts w:hint="eastAsia"/>
                      <w:color w:val="auto"/>
                      <w:sz w:val="21"/>
                      <w:szCs w:val="21"/>
                    </w:rPr>
                    <w:t>中文名</w:t>
                  </w:r>
                </w:p>
              </w:tc>
              <w:tc>
                <w:tcPr>
                  <w:tcW w:w="1275" w:type="pct"/>
                  <w:tcBorders>
                    <w:top w:val="single" w:color="auto" w:sz="12" w:space="0"/>
                    <w:left w:val="single" w:color="auto" w:sz="4" w:space="0"/>
                    <w:bottom w:val="single" w:color="auto" w:sz="4" w:space="0"/>
                    <w:right w:val="single" w:color="auto" w:sz="4" w:space="0"/>
                  </w:tcBorders>
                  <w:vAlign w:val="center"/>
                </w:tcPr>
                <w:p w14:paraId="06DE274F">
                  <w:pPr>
                    <w:pStyle w:val="57"/>
                    <w:widowControl w:val="0"/>
                    <w:rPr>
                      <w:color w:val="auto"/>
                      <w:sz w:val="21"/>
                      <w:szCs w:val="21"/>
                    </w:rPr>
                  </w:pPr>
                  <w:r>
                    <w:rPr>
                      <w:rFonts w:hint="eastAsia"/>
                      <w:color w:val="auto"/>
                      <w:sz w:val="21"/>
                      <w:szCs w:val="21"/>
                    </w:rPr>
                    <w:t>学名</w:t>
                  </w:r>
                </w:p>
              </w:tc>
              <w:tc>
                <w:tcPr>
                  <w:tcW w:w="511" w:type="pct"/>
                  <w:tcBorders>
                    <w:top w:val="single" w:color="auto" w:sz="12" w:space="0"/>
                    <w:left w:val="single" w:color="auto" w:sz="4" w:space="0"/>
                    <w:bottom w:val="single" w:color="auto" w:sz="4" w:space="0"/>
                    <w:right w:val="single" w:color="auto" w:sz="4" w:space="0"/>
                  </w:tcBorders>
                  <w:vAlign w:val="center"/>
                </w:tcPr>
                <w:p w14:paraId="7AC345FB">
                  <w:pPr>
                    <w:pStyle w:val="57"/>
                    <w:widowControl w:val="0"/>
                    <w:rPr>
                      <w:color w:val="auto"/>
                      <w:kern w:val="21"/>
                      <w:sz w:val="21"/>
                      <w:szCs w:val="21"/>
                    </w:rPr>
                  </w:pPr>
                  <w:r>
                    <w:rPr>
                      <w:rFonts w:hint="eastAsia"/>
                      <w:color w:val="auto"/>
                      <w:sz w:val="21"/>
                      <w:szCs w:val="21"/>
                    </w:rPr>
                    <w:t>保护级别</w:t>
                  </w:r>
                </w:p>
              </w:tc>
              <w:tc>
                <w:tcPr>
                  <w:tcW w:w="1721" w:type="pct"/>
                  <w:tcBorders>
                    <w:top w:val="single" w:color="auto" w:sz="12" w:space="0"/>
                    <w:left w:val="single" w:color="auto" w:sz="4" w:space="0"/>
                    <w:bottom w:val="single" w:color="auto" w:sz="4" w:space="0"/>
                    <w:right w:val="nil"/>
                  </w:tcBorders>
                  <w:vAlign w:val="center"/>
                </w:tcPr>
                <w:p w14:paraId="4767B429">
                  <w:pPr>
                    <w:pStyle w:val="57"/>
                    <w:widowControl w:val="0"/>
                    <w:rPr>
                      <w:rFonts w:cs="宋体"/>
                      <w:color w:val="auto"/>
                      <w:sz w:val="21"/>
                      <w:szCs w:val="21"/>
                    </w:rPr>
                  </w:pPr>
                  <w:r>
                    <w:rPr>
                      <w:rFonts w:hint="eastAsia"/>
                      <w:color w:val="auto"/>
                      <w:sz w:val="21"/>
                      <w:szCs w:val="21"/>
                    </w:rPr>
                    <w:t>项目区栖息生境</w:t>
                  </w:r>
                </w:p>
              </w:tc>
            </w:tr>
            <w:tr w14:paraId="16960C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278" w:type="pct"/>
                  <w:gridSpan w:val="4"/>
                  <w:tcBorders>
                    <w:top w:val="single" w:color="auto" w:sz="4" w:space="0"/>
                    <w:left w:val="nil"/>
                    <w:bottom w:val="single" w:color="auto" w:sz="4" w:space="0"/>
                    <w:right w:val="single" w:color="auto" w:sz="4" w:space="0"/>
                  </w:tcBorders>
                  <w:vAlign w:val="center"/>
                </w:tcPr>
                <w:p w14:paraId="00367904">
                  <w:pPr>
                    <w:pStyle w:val="57"/>
                    <w:widowControl w:val="0"/>
                    <w:rPr>
                      <w:color w:val="auto"/>
                      <w:sz w:val="21"/>
                      <w:szCs w:val="21"/>
                    </w:rPr>
                  </w:pPr>
                  <w:r>
                    <w:rPr>
                      <w:rFonts w:hint="eastAsia"/>
                      <w:color w:val="auto"/>
                      <w:sz w:val="21"/>
                      <w:szCs w:val="21"/>
                    </w:rPr>
                    <w:t>一、两栖纲</w:t>
                  </w:r>
                </w:p>
              </w:tc>
              <w:tc>
                <w:tcPr>
                  <w:tcW w:w="1721" w:type="pct"/>
                  <w:tcBorders>
                    <w:top w:val="single" w:color="auto" w:sz="4" w:space="0"/>
                    <w:left w:val="single" w:color="auto" w:sz="4" w:space="0"/>
                    <w:bottom w:val="single" w:color="auto" w:sz="4" w:space="0"/>
                    <w:right w:val="nil"/>
                  </w:tcBorders>
                  <w:vAlign w:val="center"/>
                </w:tcPr>
                <w:p w14:paraId="69668DFB">
                  <w:pPr>
                    <w:pStyle w:val="57"/>
                    <w:widowControl w:val="0"/>
                    <w:rPr>
                      <w:color w:val="auto"/>
                      <w:sz w:val="21"/>
                      <w:szCs w:val="21"/>
                    </w:rPr>
                  </w:pPr>
                </w:p>
              </w:tc>
            </w:tr>
            <w:tr w14:paraId="3E3699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118141D5">
                  <w:pPr>
                    <w:pStyle w:val="57"/>
                    <w:widowControl w:val="0"/>
                    <w:rPr>
                      <w:color w:val="auto"/>
                      <w:sz w:val="21"/>
                      <w:szCs w:val="21"/>
                    </w:rPr>
                  </w:pPr>
                  <w:r>
                    <w:rPr>
                      <w:rFonts w:hint="eastAsia"/>
                      <w:color w:val="auto"/>
                      <w:sz w:val="21"/>
                      <w:szCs w:val="21"/>
                    </w:rPr>
                    <w:t>（一）无尾目</w:t>
                  </w:r>
                </w:p>
              </w:tc>
              <w:tc>
                <w:tcPr>
                  <w:tcW w:w="511" w:type="pct"/>
                  <w:tcBorders>
                    <w:top w:val="single" w:color="auto" w:sz="4" w:space="0"/>
                    <w:left w:val="single" w:color="auto" w:sz="4" w:space="0"/>
                    <w:bottom w:val="single" w:color="auto" w:sz="4" w:space="0"/>
                    <w:right w:val="single" w:color="auto" w:sz="4" w:space="0"/>
                  </w:tcBorders>
                  <w:vAlign w:val="center"/>
                </w:tcPr>
                <w:p w14:paraId="54B2A194">
                  <w:pPr>
                    <w:pStyle w:val="57"/>
                    <w:widowControl w:val="0"/>
                    <w:rPr>
                      <w:color w:val="auto"/>
                      <w:sz w:val="21"/>
                      <w:szCs w:val="21"/>
                    </w:rPr>
                  </w:pPr>
                </w:p>
              </w:tc>
              <w:tc>
                <w:tcPr>
                  <w:tcW w:w="1721" w:type="pct"/>
                  <w:tcBorders>
                    <w:top w:val="single" w:color="auto" w:sz="4" w:space="0"/>
                    <w:left w:val="single" w:color="auto" w:sz="4" w:space="0"/>
                    <w:bottom w:val="single" w:color="auto" w:sz="4" w:space="0"/>
                    <w:right w:val="nil"/>
                  </w:tcBorders>
                  <w:vAlign w:val="center"/>
                </w:tcPr>
                <w:p w14:paraId="0333E26A">
                  <w:pPr>
                    <w:pStyle w:val="57"/>
                    <w:widowControl w:val="0"/>
                    <w:rPr>
                      <w:color w:val="auto"/>
                      <w:sz w:val="21"/>
                      <w:szCs w:val="21"/>
                    </w:rPr>
                  </w:pPr>
                </w:p>
              </w:tc>
            </w:tr>
            <w:tr w14:paraId="75F0A6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18BC9F6A">
                  <w:pPr>
                    <w:pStyle w:val="57"/>
                    <w:widowControl w:val="0"/>
                    <w:rPr>
                      <w:color w:val="auto"/>
                      <w:sz w:val="21"/>
                      <w:szCs w:val="21"/>
                    </w:rPr>
                  </w:pPr>
                  <w:r>
                    <w:rPr>
                      <w:color w:val="auto"/>
                      <w:sz w:val="21"/>
                      <w:szCs w:val="21"/>
                    </w:rPr>
                    <w:t>1</w:t>
                  </w:r>
                </w:p>
              </w:tc>
              <w:tc>
                <w:tcPr>
                  <w:tcW w:w="966" w:type="pct"/>
                  <w:tcBorders>
                    <w:top w:val="single" w:color="auto" w:sz="4" w:space="0"/>
                    <w:left w:val="single" w:color="auto" w:sz="4" w:space="0"/>
                    <w:bottom w:val="single" w:color="auto" w:sz="4" w:space="0"/>
                    <w:right w:val="single" w:color="auto" w:sz="4" w:space="0"/>
                  </w:tcBorders>
                  <w:vAlign w:val="center"/>
                </w:tcPr>
                <w:p w14:paraId="4CB74B5D">
                  <w:pPr>
                    <w:pStyle w:val="57"/>
                    <w:widowControl w:val="0"/>
                    <w:rPr>
                      <w:color w:val="auto"/>
                      <w:sz w:val="21"/>
                      <w:szCs w:val="21"/>
                    </w:rPr>
                  </w:pPr>
                  <w:r>
                    <w:rPr>
                      <w:rFonts w:hint="eastAsia"/>
                      <w:color w:val="auto"/>
                      <w:sz w:val="21"/>
                      <w:szCs w:val="21"/>
                    </w:rPr>
                    <w:t>花背蟾蜍</w:t>
                  </w:r>
                </w:p>
              </w:tc>
              <w:tc>
                <w:tcPr>
                  <w:tcW w:w="1275" w:type="pct"/>
                  <w:tcBorders>
                    <w:top w:val="single" w:color="auto" w:sz="4" w:space="0"/>
                    <w:left w:val="single" w:color="auto" w:sz="4" w:space="0"/>
                    <w:bottom w:val="single" w:color="auto" w:sz="4" w:space="0"/>
                    <w:right w:val="single" w:color="auto" w:sz="4" w:space="0"/>
                  </w:tcBorders>
                  <w:vAlign w:val="center"/>
                </w:tcPr>
                <w:p w14:paraId="154EAE73">
                  <w:pPr>
                    <w:pStyle w:val="57"/>
                    <w:widowControl w:val="0"/>
                    <w:rPr>
                      <w:color w:val="auto"/>
                      <w:sz w:val="21"/>
                      <w:szCs w:val="21"/>
                    </w:rPr>
                  </w:pPr>
                  <w:r>
                    <w:rPr>
                      <w:color w:val="auto"/>
                      <w:sz w:val="21"/>
                      <w:szCs w:val="21"/>
                    </w:rPr>
                    <w:t>B.raddei</w:t>
                  </w:r>
                </w:p>
              </w:tc>
              <w:tc>
                <w:tcPr>
                  <w:tcW w:w="511" w:type="pct"/>
                  <w:tcBorders>
                    <w:top w:val="single" w:color="auto" w:sz="4" w:space="0"/>
                    <w:left w:val="single" w:color="auto" w:sz="4" w:space="0"/>
                    <w:bottom w:val="single" w:color="auto" w:sz="4" w:space="0"/>
                    <w:right w:val="single" w:color="auto" w:sz="4" w:space="0"/>
                  </w:tcBorders>
                  <w:vAlign w:val="center"/>
                </w:tcPr>
                <w:p w14:paraId="6A90861A">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3CD8C47E">
                  <w:pPr>
                    <w:pStyle w:val="57"/>
                    <w:widowControl w:val="0"/>
                    <w:rPr>
                      <w:i/>
                      <w:color w:val="auto"/>
                      <w:kern w:val="21"/>
                      <w:sz w:val="21"/>
                      <w:szCs w:val="21"/>
                    </w:rPr>
                  </w:pPr>
                  <w:r>
                    <w:rPr>
                      <w:rFonts w:hint="eastAsia"/>
                      <w:color w:val="auto"/>
                      <w:sz w:val="21"/>
                      <w:szCs w:val="21"/>
                    </w:rPr>
                    <w:t>灌木林地、树根下、石缝间等</w:t>
                  </w:r>
                </w:p>
              </w:tc>
            </w:tr>
            <w:tr w14:paraId="53CDF3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6BDAF962">
                  <w:pPr>
                    <w:pStyle w:val="57"/>
                    <w:widowControl w:val="0"/>
                    <w:rPr>
                      <w:color w:val="auto"/>
                      <w:sz w:val="21"/>
                      <w:szCs w:val="21"/>
                    </w:rPr>
                  </w:pPr>
                  <w:r>
                    <w:rPr>
                      <w:rFonts w:hint="eastAsia"/>
                      <w:color w:val="auto"/>
                      <w:sz w:val="21"/>
                      <w:szCs w:val="21"/>
                    </w:rPr>
                    <w:t>二、爬行纲</w:t>
                  </w:r>
                </w:p>
              </w:tc>
              <w:tc>
                <w:tcPr>
                  <w:tcW w:w="511" w:type="pct"/>
                  <w:tcBorders>
                    <w:top w:val="single" w:color="auto" w:sz="4" w:space="0"/>
                    <w:left w:val="single" w:color="auto" w:sz="4" w:space="0"/>
                    <w:bottom w:val="single" w:color="auto" w:sz="4" w:space="0"/>
                    <w:right w:val="single" w:color="auto" w:sz="4" w:space="0"/>
                  </w:tcBorders>
                  <w:vAlign w:val="center"/>
                </w:tcPr>
                <w:p w14:paraId="5B3980E9">
                  <w:pPr>
                    <w:pStyle w:val="57"/>
                    <w:widowControl w:val="0"/>
                    <w:rPr>
                      <w:color w:val="auto"/>
                      <w:sz w:val="21"/>
                      <w:szCs w:val="21"/>
                    </w:rPr>
                  </w:pPr>
                </w:p>
              </w:tc>
              <w:tc>
                <w:tcPr>
                  <w:tcW w:w="1721" w:type="pct"/>
                  <w:tcBorders>
                    <w:top w:val="single" w:color="auto" w:sz="4" w:space="0"/>
                    <w:left w:val="single" w:color="auto" w:sz="4" w:space="0"/>
                    <w:bottom w:val="single" w:color="auto" w:sz="4" w:space="0"/>
                    <w:right w:val="nil"/>
                  </w:tcBorders>
                  <w:vAlign w:val="center"/>
                </w:tcPr>
                <w:p w14:paraId="40DEACCD">
                  <w:pPr>
                    <w:pStyle w:val="57"/>
                    <w:widowControl w:val="0"/>
                    <w:rPr>
                      <w:color w:val="auto"/>
                      <w:sz w:val="21"/>
                      <w:szCs w:val="21"/>
                    </w:rPr>
                  </w:pPr>
                </w:p>
              </w:tc>
            </w:tr>
            <w:tr w14:paraId="0D2F37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00F03A70">
                  <w:pPr>
                    <w:pStyle w:val="57"/>
                    <w:widowControl w:val="0"/>
                    <w:rPr>
                      <w:color w:val="auto"/>
                      <w:sz w:val="21"/>
                      <w:szCs w:val="21"/>
                    </w:rPr>
                  </w:pPr>
                  <w:r>
                    <w:rPr>
                      <w:rFonts w:hint="eastAsia"/>
                      <w:color w:val="auto"/>
                      <w:sz w:val="21"/>
                      <w:szCs w:val="21"/>
                    </w:rPr>
                    <w:t>（二）有鳞目</w:t>
                  </w:r>
                  <w:r>
                    <w:rPr>
                      <w:color w:val="auto"/>
                      <w:sz w:val="21"/>
                      <w:szCs w:val="21"/>
                    </w:rPr>
                    <w:t>SQUAMATA</w:t>
                  </w:r>
                </w:p>
              </w:tc>
              <w:tc>
                <w:tcPr>
                  <w:tcW w:w="511" w:type="pct"/>
                  <w:tcBorders>
                    <w:top w:val="single" w:color="auto" w:sz="4" w:space="0"/>
                    <w:left w:val="single" w:color="auto" w:sz="4" w:space="0"/>
                    <w:bottom w:val="single" w:color="auto" w:sz="4" w:space="0"/>
                    <w:right w:val="single" w:color="auto" w:sz="4" w:space="0"/>
                  </w:tcBorders>
                  <w:vAlign w:val="center"/>
                </w:tcPr>
                <w:p w14:paraId="2221305C">
                  <w:pPr>
                    <w:pStyle w:val="57"/>
                    <w:widowControl w:val="0"/>
                    <w:rPr>
                      <w:color w:val="auto"/>
                      <w:sz w:val="21"/>
                      <w:szCs w:val="21"/>
                    </w:rPr>
                  </w:pPr>
                </w:p>
              </w:tc>
              <w:tc>
                <w:tcPr>
                  <w:tcW w:w="1721" w:type="pct"/>
                  <w:tcBorders>
                    <w:top w:val="single" w:color="auto" w:sz="4" w:space="0"/>
                    <w:left w:val="single" w:color="auto" w:sz="4" w:space="0"/>
                    <w:bottom w:val="single" w:color="auto" w:sz="4" w:space="0"/>
                    <w:right w:val="nil"/>
                  </w:tcBorders>
                  <w:vAlign w:val="center"/>
                </w:tcPr>
                <w:p w14:paraId="07118973">
                  <w:pPr>
                    <w:pStyle w:val="57"/>
                    <w:widowControl w:val="0"/>
                    <w:rPr>
                      <w:color w:val="auto"/>
                      <w:sz w:val="21"/>
                      <w:szCs w:val="21"/>
                    </w:rPr>
                  </w:pPr>
                </w:p>
              </w:tc>
            </w:tr>
            <w:tr w14:paraId="29C967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3B7866DF">
                  <w:pPr>
                    <w:pStyle w:val="57"/>
                    <w:widowControl w:val="0"/>
                    <w:rPr>
                      <w:color w:val="auto"/>
                      <w:sz w:val="21"/>
                      <w:szCs w:val="21"/>
                    </w:rPr>
                  </w:pPr>
                  <w:r>
                    <w:rPr>
                      <w:color w:val="auto"/>
                      <w:sz w:val="21"/>
                      <w:szCs w:val="21"/>
                    </w:rPr>
                    <w:t>2</w:t>
                  </w:r>
                </w:p>
              </w:tc>
              <w:tc>
                <w:tcPr>
                  <w:tcW w:w="966" w:type="pct"/>
                  <w:tcBorders>
                    <w:top w:val="single" w:color="auto" w:sz="4" w:space="0"/>
                    <w:left w:val="single" w:color="auto" w:sz="4" w:space="0"/>
                    <w:bottom w:val="single" w:color="auto" w:sz="4" w:space="0"/>
                    <w:right w:val="single" w:color="auto" w:sz="4" w:space="0"/>
                  </w:tcBorders>
                  <w:vAlign w:val="center"/>
                </w:tcPr>
                <w:p w14:paraId="30D47C68">
                  <w:pPr>
                    <w:pStyle w:val="57"/>
                    <w:widowControl w:val="0"/>
                    <w:rPr>
                      <w:color w:val="auto"/>
                      <w:sz w:val="21"/>
                      <w:szCs w:val="21"/>
                    </w:rPr>
                  </w:pPr>
                  <w:r>
                    <w:rPr>
                      <w:rFonts w:hint="eastAsia"/>
                      <w:color w:val="auto"/>
                      <w:sz w:val="21"/>
                      <w:szCs w:val="21"/>
                    </w:rPr>
                    <w:t>麻蜥</w:t>
                  </w:r>
                </w:p>
              </w:tc>
              <w:tc>
                <w:tcPr>
                  <w:tcW w:w="1275" w:type="pct"/>
                  <w:tcBorders>
                    <w:top w:val="single" w:color="auto" w:sz="4" w:space="0"/>
                    <w:left w:val="single" w:color="auto" w:sz="4" w:space="0"/>
                    <w:bottom w:val="single" w:color="auto" w:sz="4" w:space="0"/>
                    <w:right w:val="single" w:color="auto" w:sz="4" w:space="0"/>
                  </w:tcBorders>
                  <w:vAlign w:val="center"/>
                </w:tcPr>
                <w:p w14:paraId="68F2A116">
                  <w:pPr>
                    <w:pStyle w:val="57"/>
                    <w:widowControl w:val="0"/>
                    <w:rPr>
                      <w:color w:val="auto"/>
                      <w:sz w:val="21"/>
                      <w:szCs w:val="21"/>
                    </w:rPr>
                  </w:pPr>
                  <w:r>
                    <w:rPr>
                      <w:color w:val="auto"/>
                      <w:sz w:val="21"/>
                      <w:szCs w:val="21"/>
                    </w:rPr>
                    <w:t>Eremiasargus</w:t>
                  </w:r>
                </w:p>
              </w:tc>
              <w:tc>
                <w:tcPr>
                  <w:tcW w:w="511" w:type="pct"/>
                  <w:tcBorders>
                    <w:top w:val="single" w:color="auto" w:sz="4" w:space="0"/>
                    <w:left w:val="single" w:color="auto" w:sz="4" w:space="0"/>
                    <w:bottom w:val="single" w:color="auto" w:sz="4" w:space="0"/>
                    <w:right w:val="single" w:color="auto" w:sz="4" w:space="0"/>
                  </w:tcBorders>
                  <w:vAlign w:val="center"/>
                </w:tcPr>
                <w:p w14:paraId="7560CD4A">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01FF0902">
                  <w:pPr>
                    <w:pStyle w:val="57"/>
                    <w:widowControl w:val="0"/>
                    <w:rPr>
                      <w:color w:val="auto"/>
                      <w:sz w:val="21"/>
                      <w:szCs w:val="21"/>
                    </w:rPr>
                  </w:pPr>
                  <w:r>
                    <w:rPr>
                      <w:rFonts w:hint="eastAsia"/>
                      <w:color w:val="auto"/>
                      <w:sz w:val="21"/>
                      <w:szCs w:val="21"/>
                    </w:rPr>
                    <w:t>农田、灌木林地、草丛</w:t>
                  </w:r>
                </w:p>
              </w:tc>
            </w:tr>
            <w:tr w14:paraId="2631D4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66118E8A">
                  <w:pPr>
                    <w:pStyle w:val="57"/>
                    <w:widowControl w:val="0"/>
                    <w:rPr>
                      <w:color w:val="auto"/>
                      <w:sz w:val="21"/>
                      <w:szCs w:val="21"/>
                    </w:rPr>
                  </w:pPr>
                  <w:r>
                    <w:rPr>
                      <w:rFonts w:hint="eastAsia"/>
                      <w:color w:val="auto"/>
                      <w:sz w:val="21"/>
                      <w:szCs w:val="21"/>
                    </w:rPr>
                    <w:t>三、鸟纲</w:t>
                  </w:r>
                </w:p>
              </w:tc>
              <w:tc>
                <w:tcPr>
                  <w:tcW w:w="511" w:type="pct"/>
                  <w:tcBorders>
                    <w:top w:val="single" w:color="auto" w:sz="4" w:space="0"/>
                    <w:left w:val="single" w:color="auto" w:sz="4" w:space="0"/>
                    <w:bottom w:val="single" w:color="auto" w:sz="4" w:space="0"/>
                    <w:right w:val="single" w:color="auto" w:sz="4" w:space="0"/>
                  </w:tcBorders>
                  <w:vAlign w:val="center"/>
                </w:tcPr>
                <w:p w14:paraId="34DD178E">
                  <w:pPr>
                    <w:pStyle w:val="57"/>
                    <w:widowControl w:val="0"/>
                    <w:rPr>
                      <w:color w:val="auto"/>
                      <w:sz w:val="21"/>
                      <w:szCs w:val="21"/>
                    </w:rPr>
                  </w:pPr>
                </w:p>
              </w:tc>
              <w:tc>
                <w:tcPr>
                  <w:tcW w:w="1721" w:type="pct"/>
                  <w:tcBorders>
                    <w:top w:val="single" w:color="auto" w:sz="4" w:space="0"/>
                    <w:left w:val="single" w:color="auto" w:sz="4" w:space="0"/>
                    <w:bottom w:val="single" w:color="auto" w:sz="4" w:space="0"/>
                    <w:right w:val="nil"/>
                  </w:tcBorders>
                  <w:vAlign w:val="center"/>
                </w:tcPr>
                <w:p w14:paraId="64AA991B">
                  <w:pPr>
                    <w:pStyle w:val="57"/>
                    <w:widowControl w:val="0"/>
                    <w:rPr>
                      <w:color w:val="auto"/>
                      <w:sz w:val="21"/>
                      <w:szCs w:val="21"/>
                    </w:rPr>
                  </w:pPr>
                </w:p>
              </w:tc>
            </w:tr>
            <w:tr w14:paraId="16B681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261CA365">
                  <w:pPr>
                    <w:pStyle w:val="57"/>
                    <w:widowControl w:val="0"/>
                    <w:rPr>
                      <w:color w:val="auto"/>
                      <w:sz w:val="21"/>
                      <w:szCs w:val="21"/>
                      <w:lang w:val="it-IT"/>
                    </w:rPr>
                  </w:pPr>
                  <w:r>
                    <w:rPr>
                      <w:rFonts w:hint="eastAsia"/>
                      <w:color w:val="auto"/>
                      <w:sz w:val="21"/>
                      <w:szCs w:val="21"/>
                      <w:lang w:val="it-IT"/>
                    </w:rPr>
                    <w:t>（</w:t>
                  </w:r>
                  <w:r>
                    <w:rPr>
                      <w:rFonts w:hint="eastAsia"/>
                      <w:color w:val="auto"/>
                      <w:sz w:val="21"/>
                      <w:szCs w:val="21"/>
                    </w:rPr>
                    <w:t>三</w:t>
                  </w:r>
                  <w:r>
                    <w:rPr>
                      <w:rFonts w:hint="eastAsia"/>
                      <w:color w:val="auto"/>
                      <w:sz w:val="21"/>
                      <w:szCs w:val="21"/>
                      <w:lang w:val="it-IT"/>
                    </w:rPr>
                    <w:t>）</w:t>
                  </w:r>
                  <w:r>
                    <w:rPr>
                      <w:rFonts w:hint="eastAsia"/>
                      <w:color w:val="auto"/>
                      <w:sz w:val="21"/>
                      <w:szCs w:val="21"/>
                    </w:rPr>
                    <w:t>雀形目</w:t>
                  </w:r>
                  <w:r>
                    <w:rPr>
                      <w:color w:val="auto"/>
                      <w:sz w:val="21"/>
                      <w:szCs w:val="21"/>
                      <w:lang w:val="it-IT"/>
                    </w:rPr>
                    <w:t>PASSERIFORMES</w:t>
                  </w:r>
                </w:p>
              </w:tc>
              <w:tc>
                <w:tcPr>
                  <w:tcW w:w="511" w:type="pct"/>
                  <w:tcBorders>
                    <w:top w:val="single" w:color="auto" w:sz="4" w:space="0"/>
                    <w:left w:val="single" w:color="auto" w:sz="4" w:space="0"/>
                    <w:bottom w:val="single" w:color="auto" w:sz="4" w:space="0"/>
                    <w:right w:val="single" w:color="auto" w:sz="4" w:space="0"/>
                  </w:tcBorders>
                  <w:vAlign w:val="center"/>
                </w:tcPr>
                <w:p w14:paraId="2ECEC972">
                  <w:pPr>
                    <w:pStyle w:val="57"/>
                    <w:widowControl w:val="0"/>
                    <w:rPr>
                      <w:color w:val="auto"/>
                      <w:sz w:val="21"/>
                      <w:szCs w:val="21"/>
                      <w:lang w:val="it-IT"/>
                    </w:rPr>
                  </w:pPr>
                </w:p>
              </w:tc>
              <w:tc>
                <w:tcPr>
                  <w:tcW w:w="1721" w:type="pct"/>
                  <w:tcBorders>
                    <w:top w:val="single" w:color="auto" w:sz="4" w:space="0"/>
                    <w:left w:val="single" w:color="auto" w:sz="4" w:space="0"/>
                    <w:bottom w:val="single" w:color="auto" w:sz="4" w:space="0"/>
                    <w:right w:val="nil"/>
                  </w:tcBorders>
                  <w:vAlign w:val="center"/>
                </w:tcPr>
                <w:p w14:paraId="4D52C558">
                  <w:pPr>
                    <w:pStyle w:val="57"/>
                    <w:widowControl w:val="0"/>
                    <w:rPr>
                      <w:color w:val="auto"/>
                      <w:sz w:val="21"/>
                      <w:szCs w:val="21"/>
                      <w:lang w:val="it-IT"/>
                    </w:rPr>
                  </w:pPr>
                </w:p>
              </w:tc>
            </w:tr>
            <w:tr w14:paraId="52A0DB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79764A03">
                  <w:pPr>
                    <w:pStyle w:val="57"/>
                    <w:widowControl w:val="0"/>
                    <w:rPr>
                      <w:color w:val="auto"/>
                      <w:sz w:val="21"/>
                      <w:szCs w:val="21"/>
                    </w:rPr>
                  </w:pPr>
                  <w:r>
                    <w:rPr>
                      <w:color w:val="auto"/>
                      <w:sz w:val="21"/>
                      <w:szCs w:val="21"/>
                    </w:rPr>
                    <w:t>3</w:t>
                  </w:r>
                </w:p>
              </w:tc>
              <w:tc>
                <w:tcPr>
                  <w:tcW w:w="966" w:type="pct"/>
                  <w:tcBorders>
                    <w:top w:val="single" w:color="auto" w:sz="4" w:space="0"/>
                    <w:left w:val="single" w:color="auto" w:sz="4" w:space="0"/>
                    <w:bottom w:val="single" w:color="auto" w:sz="4" w:space="0"/>
                    <w:right w:val="single" w:color="auto" w:sz="4" w:space="0"/>
                  </w:tcBorders>
                  <w:vAlign w:val="center"/>
                </w:tcPr>
                <w:p w14:paraId="79345C92">
                  <w:pPr>
                    <w:pStyle w:val="57"/>
                    <w:widowControl w:val="0"/>
                    <w:rPr>
                      <w:color w:val="auto"/>
                      <w:sz w:val="21"/>
                      <w:szCs w:val="21"/>
                    </w:rPr>
                  </w:pPr>
                  <w:r>
                    <w:rPr>
                      <w:rFonts w:hint="eastAsia"/>
                      <w:color w:val="auto"/>
                      <w:sz w:val="21"/>
                      <w:szCs w:val="21"/>
                    </w:rPr>
                    <w:t>喜鹊</w:t>
                  </w:r>
                </w:p>
              </w:tc>
              <w:tc>
                <w:tcPr>
                  <w:tcW w:w="1275" w:type="pct"/>
                  <w:tcBorders>
                    <w:top w:val="single" w:color="auto" w:sz="4" w:space="0"/>
                    <w:left w:val="single" w:color="auto" w:sz="4" w:space="0"/>
                    <w:bottom w:val="single" w:color="auto" w:sz="4" w:space="0"/>
                    <w:right w:val="single" w:color="auto" w:sz="4" w:space="0"/>
                  </w:tcBorders>
                  <w:vAlign w:val="center"/>
                </w:tcPr>
                <w:p w14:paraId="6FD221E0">
                  <w:pPr>
                    <w:pStyle w:val="57"/>
                    <w:widowControl w:val="0"/>
                    <w:rPr>
                      <w:color w:val="auto"/>
                      <w:sz w:val="21"/>
                      <w:szCs w:val="21"/>
                    </w:rPr>
                  </w:pPr>
                  <w:r>
                    <w:rPr>
                      <w:color w:val="auto"/>
                      <w:sz w:val="21"/>
                      <w:szCs w:val="21"/>
                    </w:rPr>
                    <w:t>Picapica</w:t>
                  </w:r>
                </w:p>
              </w:tc>
              <w:tc>
                <w:tcPr>
                  <w:tcW w:w="511" w:type="pct"/>
                  <w:tcBorders>
                    <w:top w:val="single" w:color="auto" w:sz="4" w:space="0"/>
                    <w:left w:val="single" w:color="auto" w:sz="4" w:space="0"/>
                    <w:bottom w:val="single" w:color="auto" w:sz="4" w:space="0"/>
                    <w:right w:val="single" w:color="auto" w:sz="4" w:space="0"/>
                  </w:tcBorders>
                  <w:vAlign w:val="center"/>
                </w:tcPr>
                <w:p w14:paraId="3D79DED6">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1942F5FE">
                  <w:pPr>
                    <w:pStyle w:val="57"/>
                    <w:widowControl w:val="0"/>
                    <w:rPr>
                      <w:color w:val="auto"/>
                      <w:sz w:val="21"/>
                      <w:szCs w:val="21"/>
                    </w:rPr>
                  </w:pPr>
                  <w:r>
                    <w:rPr>
                      <w:rFonts w:hint="eastAsia"/>
                      <w:color w:val="auto"/>
                      <w:sz w:val="21"/>
                      <w:szCs w:val="21"/>
                    </w:rPr>
                    <w:t>民宅旁的大树上、田间</w:t>
                  </w:r>
                </w:p>
              </w:tc>
            </w:tr>
            <w:tr w14:paraId="364518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2AF0546D">
                  <w:pPr>
                    <w:pStyle w:val="57"/>
                    <w:widowControl w:val="0"/>
                    <w:rPr>
                      <w:color w:val="auto"/>
                      <w:sz w:val="21"/>
                      <w:szCs w:val="21"/>
                    </w:rPr>
                  </w:pPr>
                  <w:r>
                    <w:rPr>
                      <w:color w:val="auto"/>
                      <w:sz w:val="21"/>
                      <w:szCs w:val="21"/>
                    </w:rPr>
                    <w:t>4</w:t>
                  </w:r>
                </w:p>
              </w:tc>
              <w:tc>
                <w:tcPr>
                  <w:tcW w:w="966" w:type="pct"/>
                  <w:tcBorders>
                    <w:top w:val="single" w:color="auto" w:sz="4" w:space="0"/>
                    <w:left w:val="single" w:color="auto" w:sz="4" w:space="0"/>
                    <w:bottom w:val="single" w:color="auto" w:sz="4" w:space="0"/>
                    <w:right w:val="single" w:color="auto" w:sz="4" w:space="0"/>
                  </w:tcBorders>
                  <w:vAlign w:val="center"/>
                </w:tcPr>
                <w:p w14:paraId="723F88B2">
                  <w:pPr>
                    <w:pStyle w:val="57"/>
                    <w:widowControl w:val="0"/>
                    <w:rPr>
                      <w:color w:val="auto"/>
                      <w:sz w:val="21"/>
                      <w:szCs w:val="21"/>
                    </w:rPr>
                  </w:pPr>
                  <w:r>
                    <w:rPr>
                      <w:rFonts w:hint="eastAsia"/>
                      <w:color w:val="auto"/>
                      <w:sz w:val="21"/>
                      <w:szCs w:val="21"/>
                    </w:rPr>
                    <w:t>乌鸦</w:t>
                  </w:r>
                </w:p>
              </w:tc>
              <w:tc>
                <w:tcPr>
                  <w:tcW w:w="1275" w:type="pct"/>
                  <w:tcBorders>
                    <w:top w:val="single" w:color="auto" w:sz="4" w:space="0"/>
                    <w:left w:val="single" w:color="auto" w:sz="4" w:space="0"/>
                    <w:bottom w:val="single" w:color="auto" w:sz="4" w:space="0"/>
                    <w:right w:val="single" w:color="auto" w:sz="4" w:space="0"/>
                  </w:tcBorders>
                  <w:vAlign w:val="center"/>
                </w:tcPr>
                <w:p w14:paraId="4FCF3142">
                  <w:pPr>
                    <w:pStyle w:val="57"/>
                    <w:widowControl w:val="0"/>
                    <w:rPr>
                      <w:color w:val="auto"/>
                      <w:sz w:val="21"/>
                      <w:szCs w:val="21"/>
                    </w:rPr>
                  </w:pPr>
                  <w:r>
                    <w:rPr>
                      <w:color w:val="auto"/>
                      <w:sz w:val="21"/>
                      <w:szCs w:val="21"/>
                    </w:rPr>
                    <w:t>C.corone</w:t>
                  </w:r>
                </w:p>
              </w:tc>
              <w:tc>
                <w:tcPr>
                  <w:tcW w:w="511" w:type="pct"/>
                  <w:tcBorders>
                    <w:top w:val="single" w:color="auto" w:sz="4" w:space="0"/>
                    <w:left w:val="single" w:color="auto" w:sz="4" w:space="0"/>
                    <w:bottom w:val="single" w:color="auto" w:sz="4" w:space="0"/>
                    <w:right w:val="single" w:color="auto" w:sz="4" w:space="0"/>
                  </w:tcBorders>
                  <w:vAlign w:val="center"/>
                </w:tcPr>
                <w:p w14:paraId="24C374A9">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5ADB5924">
                  <w:pPr>
                    <w:pStyle w:val="57"/>
                    <w:widowControl w:val="0"/>
                    <w:rPr>
                      <w:color w:val="auto"/>
                      <w:sz w:val="21"/>
                      <w:szCs w:val="21"/>
                    </w:rPr>
                  </w:pPr>
                  <w:r>
                    <w:rPr>
                      <w:rFonts w:hint="eastAsia"/>
                      <w:color w:val="auto"/>
                      <w:sz w:val="21"/>
                      <w:szCs w:val="21"/>
                    </w:rPr>
                    <w:t>低山、林地</w:t>
                  </w:r>
                </w:p>
              </w:tc>
            </w:tr>
            <w:tr w14:paraId="549F43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0634EF21">
                  <w:pPr>
                    <w:pStyle w:val="57"/>
                    <w:widowControl w:val="0"/>
                    <w:rPr>
                      <w:color w:val="auto"/>
                      <w:sz w:val="21"/>
                      <w:szCs w:val="21"/>
                    </w:rPr>
                  </w:pPr>
                  <w:r>
                    <w:rPr>
                      <w:color w:val="auto"/>
                      <w:sz w:val="21"/>
                      <w:szCs w:val="21"/>
                    </w:rPr>
                    <w:t>5</w:t>
                  </w:r>
                </w:p>
              </w:tc>
              <w:tc>
                <w:tcPr>
                  <w:tcW w:w="966" w:type="pct"/>
                  <w:tcBorders>
                    <w:top w:val="single" w:color="auto" w:sz="4" w:space="0"/>
                    <w:left w:val="single" w:color="auto" w:sz="4" w:space="0"/>
                    <w:bottom w:val="single" w:color="auto" w:sz="4" w:space="0"/>
                    <w:right w:val="single" w:color="auto" w:sz="4" w:space="0"/>
                  </w:tcBorders>
                  <w:vAlign w:val="center"/>
                </w:tcPr>
                <w:p w14:paraId="359D4707">
                  <w:pPr>
                    <w:pStyle w:val="57"/>
                    <w:widowControl w:val="0"/>
                    <w:rPr>
                      <w:color w:val="auto"/>
                      <w:sz w:val="21"/>
                      <w:szCs w:val="21"/>
                    </w:rPr>
                  </w:pPr>
                  <w:r>
                    <w:rPr>
                      <w:rFonts w:hint="eastAsia"/>
                      <w:color w:val="auto"/>
                      <w:sz w:val="21"/>
                      <w:szCs w:val="21"/>
                    </w:rPr>
                    <w:t>树麻雀</w:t>
                  </w:r>
                </w:p>
              </w:tc>
              <w:tc>
                <w:tcPr>
                  <w:tcW w:w="1275" w:type="pct"/>
                  <w:tcBorders>
                    <w:top w:val="single" w:color="auto" w:sz="4" w:space="0"/>
                    <w:left w:val="single" w:color="auto" w:sz="4" w:space="0"/>
                    <w:bottom w:val="single" w:color="auto" w:sz="4" w:space="0"/>
                    <w:right w:val="single" w:color="auto" w:sz="4" w:space="0"/>
                  </w:tcBorders>
                  <w:vAlign w:val="center"/>
                </w:tcPr>
                <w:p w14:paraId="785E1583">
                  <w:pPr>
                    <w:pStyle w:val="57"/>
                    <w:widowControl w:val="0"/>
                    <w:rPr>
                      <w:color w:val="auto"/>
                      <w:sz w:val="21"/>
                      <w:szCs w:val="21"/>
                    </w:rPr>
                  </w:pPr>
                  <w:r>
                    <w:rPr>
                      <w:color w:val="auto"/>
                      <w:sz w:val="21"/>
                      <w:szCs w:val="21"/>
                    </w:rPr>
                    <w:t>Passermontanus</w:t>
                  </w:r>
                </w:p>
              </w:tc>
              <w:tc>
                <w:tcPr>
                  <w:tcW w:w="511" w:type="pct"/>
                  <w:tcBorders>
                    <w:top w:val="single" w:color="auto" w:sz="4" w:space="0"/>
                    <w:left w:val="single" w:color="auto" w:sz="4" w:space="0"/>
                    <w:bottom w:val="single" w:color="auto" w:sz="4" w:space="0"/>
                    <w:right w:val="single" w:color="auto" w:sz="4" w:space="0"/>
                  </w:tcBorders>
                  <w:vAlign w:val="center"/>
                </w:tcPr>
                <w:p w14:paraId="46B0A596">
                  <w:pPr>
                    <w:pStyle w:val="57"/>
                    <w:widowControl w:val="0"/>
                    <w:rPr>
                      <w:color w:val="auto"/>
                      <w:sz w:val="21"/>
                      <w:szCs w:val="21"/>
                    </w:rPr>
                  </w:pPr>
                  <w:r>
                    <w:rPr>
                      <w:rFonts w:hint="eastAsia"/>
                      <w:color w:val="auto"/>
                      <w:sz w:val="21"/>
                      <w:szCs w:val="21"/>
                    </w:rPr>
                    <w:t>内蒙古级</w:t>
                  </w:r>
                </w:p>
              </w:tc>
              <w:tc>
                <w:tcPr>
                  <w:tcW w:w="1721" w:type="pct"/>
                  <w:tcBorders>
                    <w:top w:val="single" w:color="auto" w:sz="4" w:space="0"/>
                    <w:left w:val="single" w:color="auto" w:sz="4" w:space="0"/>
                    <w:bottom w:val="single" w:color="auto" w:sz="4" w:space="0"/>
                    <w:right w:val="nil"/>
                  </w:tcBorders>
                  <w:vAlign w:val="center"/>
                </w:tcPr>
                <w:p w14:paraId="28D69EE6">
                  <w:pPr>
                    <w:pStyle w:val="57"/>
                    <w:widowControl w:val="0"/>
                    <w:rPr>
                      <w:iCs/>
                      <w:color w:val="auto"/>
                      <w:kern w:val="21"/>
                      <w:sz w:val="21"/>
                      <w:szCs w:val="21"/>
                    </w:rPr>
                  </w:pPr>
                  <w:r>
                    <w:rPr>
                      <w:rFonts w:hint="eastAsia"/>
                      <w:color w:val="auto"/>
                      <w:sz w:val="21"/>
                      <w:szCs w:val="21"/>
                    </w:rPr>
                    <w:t>灌木林地、草丛</w:t>
                  </w:r>
                </w:p>
              </w:tc>
            </w:tr>
            <w:tr w14:paraId="2C246E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47172C1A">
                  <w:pPr>
                    <w:pStyle w:val="57"/>
                    <w:widowControl w:val="0"/>
                    <w:rPr>
                      <w:color w:val="auto"/>
                      <w:sz w:val="21"/>
                      <w:szCs w:val="21"/>
                    </w:rPr>
                  </w:pPr>
                  <w:r>
                    <w:rPr>
                      <w:rFonts w:hint="eastAsia"/>
                      <w:color w:val="auto"/>
                      <w:sz w:val="21"/>
                      <w:szCs w:val="21"/>
                    </w:rPr>
                    <w:t>四、哺乳纲</w:t>
                  </w:r>
                </w:p>
              </w:tc>
              <w:tc>
                <w:tcPr>
                  <w:tcW w:w="511" w:type="pct"/>
                  <w:tcBorders>
                    <w:top w:val="single" w:color="auto" w:sz="4" w:space="0"/>
                    <w:left w:val="single" w:color="auto" w:sz="4" w:space="0"/>
                    <w:bottom w:val="single" w:color="auto" w:sz="4" w:space="0"/>
                    <w:right w:val="single" w:color="auto" w:sz="4" w:space="0"/>
                  </w:tcBorders>
                  <w:vAlign w:val="center"/>
                </w:tcPr>
                <w:p w14:paraId="44B1323E">
                  <w:pPr>
                    <w:pStyle w:val="57"/>
                    <w:widowControl w:val="0"/>
                    <w:rPr>
                      <w:color w:val="auto"/>
                      <w:sz w:val="21"/>
                      <w:szCs w:val="21"/>
                    </w:rPr>
                  </w:pPr>
                </w:p>
              </w:tc>
              <w:tc>
                <w:tcPr>
                  <w:tcW w:w="1721" w:type="pct"/>
                  <w:tcBorders>
                    <w:top w:val="single" w:color="auto" w:sz="4" w:space="0"/>
                    <w:left w:val="single" w:color="auto" w:sz="4" w:space="0"/>
                    <w:bottom w:val="single" w:color="auto" w:sz="4" w:space="0"/>
                    <w:right w:val="nil"/>
                  </w:tcBorders>
                  <w:vAlign w:val="center"/>
                </w:tcPr>
                <w:p w14:paraId="25BDCD95">
                  <w:pPr>
                    <w:pStyle w:val="57"/>
                    <w:widowControl w:val="0"/>
                    <w:rPr>
                      <w:color w:val="auto"/>
                      <w:sz w:val="21"/>
                      <w:szCs w:val="21"/>
                    </w:rPr>
                  </w:pPr>
                </w:p>
              </w:tc>
            </w:tr>
            <w:tr w14:paraId="7B6B85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66" w:type="pct"/>
                  <w:gridSpan w:val="3"/>
                  <w:tcBorders>
                    <w:top w:val="single" w:color="auto" w:sz="4" w:space="0"/>
                    <w:left w:val="nil"/>
                    <w:bottom w:val="single" w:color="auto" w:sz="4" w:space="0"/>
                    <w:right w:val="single" w:color="auto" w:sz="4" w:space="0"/>
                  </w:tcBorders>
                  <w:vAlign w:val="center"/>
                </w:tcPr>
                <w:p w14:paraId="5603B559">
                  <w:pPr>
                    <w:pStyle w:val="57"/>
                    <w:widowControl w:val="0"/>
                    <w:rPr>
                      <w:color w:val="auto"/>
                      <w:sz w:val="21"/>
                      <w:szCs w:val="21"/>
                    </w:rPr>
                  </w:pPr>
                  <w:r>
                    <w:rPr>
                      <w:rFonts w:hint="eastAsia"/>
                      <w:color w:val="auto"/>
                      <w:sz w:val="21"/>
                      <w:szCs w:val="21"/>
                    </w:rPr>
                    <w:t>（四）啮齿目</w:t>
                  </w:r>
                  <w:r>
                    <w:rPr>
                      <w:color w:val="auto"/>
                      <w:sz w:val="21"/>
                      <w:szCs w:val="21"/>
                    </w:rPr>
                    <w:t>RODENTIA</w:t>
                  </w:r>
                </w:p>
              </w:tc>
              <w:tc>
                <w:tcPr>
                  <w:tcW w:w="511" w:type="pct"/>
                  <w:tcBorders>
                    <w:top w:val="single" w:color="auto" w:sz="4" w:space="0"/>
                    <w:left w:val="single" w:color="auto" w:sz="4" w:space="0"/>
                    <w:bottom w:val="single" w:color="auto" w:sz="4" w:space="0"/>
                    <w:right w:val="single" w:color="auto" w:sz="4" w:space="0"/>
                  </w:tcBorders>
                  <w:vAlign w:val="center"/>
                </w:tcPr>
                <w:p w14:paraId="023F0950">
                  <w:pPr>
                    <w:pStyle w:val="57"/>
                    <w:widowControl w:val="0"/>
                    <w:rPr>
                      <w:color w:val="auto"/>
                      <w:sz w:val="21"/>
                      <w:szCs w:val="21"/>
                    </w:rPr>
                  </w:pPr>
                </w:p>
              </w:tc>
              <w:tc>
                <w:tcPr>
                  <w:tcW w:w="1721" w:type="pct"/>
                  <w:tcBorders>
                    <w:top w:val="single" w:color="auto" w:sz="4" w:space="0"/>
                    <w:left w:val="single" w:color="auto" w:sz="4" w:space="0"/>
                    <w:bottom w:val="single" w:color="auto" w:sz="4" w:space="0"/>
                    <w:right w:val="nil"/>
                  </w:tcBorders>
                  <w:vAlign w:val="center"/>
                </w:tcPr>
                <w:p w14:paraId="12E82B02">
                  <w:pPr>
                    <w:pStyle w:val="57"/>
                    <w:widowControl w:val="0"/>
                    <w:rPr>
                      <w:color w:val="auto"/>
                      <w:sz w:val="21"/>
                      <w:szCs w:val="21"/>
                    </w:rPr>
                  </w:pPr>
                </w:p>
              </w:tc>
            </w:tr>
            <w:tr w14:paraId="4217ED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56257B54">
                  <w:pPr>
                    <w:pStyle w:val="57"/>
                    <w:widowControl w:val="0"/>
                    <w:rPr>
                      <w:color w:val="auto"/>
                      <w:sz w:val="21"/>
                      <w:szCs w:val="21"/>
                    </w:rPr>
                  </w:pPr>
                  <w:r>
                    <w:rPr>
                      <w:color w:val="auto"/>
                      <w:sz w:val="21"/>
                      <w:szCs w:val="21"/>
                    </w:rPr>
                    <w:t>6</w:t>
                  </w:r>
                </w:p>
              </w:tc>
              <w:tc>
                <w:tcPr>
                  <w:tcW w:w="966" w:type="pct"/>
                  <w:tcBorders>
                    <w:top w:val="single" w:color="auto" w:sz="4" w:space="0"/>
                    <w:left w:val="single" w:color="auto" w:sz="4" w:space="0"/>
                    <w:bottom w:val="single" w:color="auto" w:sz="4" w:space="0"/>
                    <w:right w:val="single" w:color="auto" w:sz="4" w:space="0"/>
                  </w:tcBorders>
                  <w:vAlign w:val="center"/>
                </w:tcPr>
                <w:p w14:paraId="1E327443">
                  <w:pPr>
                    <w:pStyle w:val="57"/>
                    <w:widowControl w:val="0"/>
                    <w:rPr>
                      <w:color w:val="auto"/>
                      <w:sz w:val="21"/>
                      <w:szCs w:val="21"/>
                    </w:rPr>
                  </w:pPr>
                  <w:r>
                    <w:rPr>
                      <w:rFonts w:hint="eastAsia"/>
                      <w:color w:val="auto"/>
                      <w:sz w:val="21"/>
                      <w:szCs w:val="21"/>
                    </w:rPr>
                    <w:t>五趾跳鼠</w:t>
                  </w:r>
                </w:p>
              </w:tc>
              <w:tc>
                <w:tcPr>
                  <w:tcW w:w="1275" w:type="pct"/>
                  <w:tcBorders>
                    <w:top w:val="single" w:color="auto" w:sz="4" w:space="0"/>
                    <w:left w:val="single" w:color="auto" w:sz="4" w:space="0"/>
                    <w:bottom w:val="single" w:color="auto" w:sz="4" w:space="0"/>
                    <w:right w:val="single" w:color="auto" w:sz="4" w:space="0"/>
                  </w:tcBorders>
                  <w:vAlign w:val="center"/>
                </w:tcPr>
                <w:p w14:paraId="76DBCB82">
                  <w:pPr>
                    <w:pStyle w:val="57"/>
                    <w:widowControl w:val="0"/>
                    <w:rPr>
                      <w:color w:val="auto"/>
                      <w:sz w:val="21"/>
                      <w:szCs w:val="21"/>
                    </w:rPr>
                  </w:pPr>
                  <w:r>
                    <w:rPr>
                      <w:color w:val="auto"/>
                      <w:sz w:val="21"/>
                      <w:szCs w:val="21"/>
                    </w:rPr>
                    <w:t>Allactagasibirica</w:t>
                  </w:r>
                </w:p>
              </w:tc>
              <w:tc>
                <w:tcPr>
                  <w:tcW w:w="511" w:type="pct"/>
                  <w:tcBorders>
                    <w:top w:val="single" w:color="auto" w:sz="4" w:space="0"/>
                    <w:left w:val="single" w:color="auto" w:sz="4" w:space="0"/>
                    <w:bottom w:val="single" w:color="auto" w:sz="4" w:space="0"/>
                    <w:right w:val="single" w:color="auto" w:sz="4" w:space="0"/>
                  </w:tcBorders>
                  <w:vAlign w:val="center"/>
                </w:tcPr>
                <w:p w14:paraId="451883F3">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693B9575">
                  <w:pPr>
                    <w:pStyle w:val="57"/>
                    <w:widowControl w:val="0"/>
                    <w:rPr>
                      <w:color w:val="auto"/>
                      <w:sz w:val="21"/>
                      <w:szCs w:val="21"/>
                    </w:rPr>
                  </w:pPr>
                  <w:r>
                    <w:rPr>
                      <w:rFonts w:hint="eastAsia"/>
                      <w:color w:val="auto"/>
                      <w:sz w:val="21"/>
                      <w:szCs w:val="21"/>
                    </w:rPr>
                    <w:t>山坡草地</w:t>
                  </w:r>
                </w:p>
              </w:tc>
            </w:tr>
            <w:tr w14:paraId="0A0BC3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2C0E0818">
                  <w:pPr>
                    <w:pStyle w:val="57"/>
                    <w:widowControl w:val="0"/>
                    <w:rPr>
                      <w:color w:val="auto"/>
                      <w:sz w:val="21"/>
                      <w:szCs w:val="21"/>
                    </w:rPr>
                  </w:pPr>
                  <w:r>
                    <w:rPr>
                      <w:color w:val="auto"/>
                      <w:sz w:val="21"/>
                      <w:szCs w:val="21"/>
                    </w:rPr>
                    <w:t>7</w:t>
                  </w:r>
                </w:p>
              </w:tc>
              <w:tc>
                <w:tcPr>
                  <w:tcW w:w="966" w:type="pct"/>
                  <w:tcBorders>
                    <w:top w:val="single" w:color="auto" w:sz="4" w:space="0"/>
                    <w:left w:val="single" w:color="auto" w:sz="4" w:space="0"/>
                    <w:bottom w:val="single" w:color="auto" w:sz="4" w:space="0"/>
                    <w:right w:val="single" w:color="auto" w:sz="4" w:space="0"/>
                  </w:tcBorders>
                  <w:vAlign w:val="center"/>
                </w:tcPr>
                <w:p w14:paraId="292AFAAE">
                  <w:pPr>
                    <w:pStyle w:val="57"/>
                    <w:widowControl w:val="0"/>
                    <w:rPr>
                      <w:color w:val="auto"/>
                      <w:sz w:val="21"/>
                      <w:szCs w:val="21"/>
                    </w:rPr>
                  </w:pPr>
                  <w:r>
                    <w:rPr>
                      <w:rFonts w:hint="eastAsia"/>
                      <w:color w:val="auto"/>
                      <w:sz w:val="21"/>
                      <w:szCs w:val="21"/>
                    </w:rPr>
                    <w:t>褐家鼠</w:t>
                  </w:r>
                </w:p>
              </w:tc>
              <w:tc>
                <w:tcPr>
                  <w:tcW w:w="1275" w:type="pct"/>
                  <w:tcBorders>
                    <w:top w:val="single" w:color="auto" w:sz="4" w:space="0"/>
                    <w:left w:val="single" w:color="auto" w:sz="4" w:space="0"/>
                    <w:bottom w:val="single" w:color="auto" w:sz="4" w:space="0"/>
                    <w:right w:val="single" w:color="auto" w:sz="4" w:space="0"/>
                  </w:tcBorders>
                  <w:vAlign w:val="center"/>
                </w:tcPr>
                <w:p w14:paraId="37A1CFB0">
                  <w:pPr>
                    <w:pStyle w:val="57"/>
                    <w:widowControl w:val="0"/>
                    <w:rPr>
                      <w:color w:val="auto"/>
                      <w:sz w:val="21"/>
                      <w:szCs w:val="21"/>
                    </w:rPr>
                  </w:pPr>
                  <w:r>
                    <w:rPr>
                      <w:color w:val="auto"/>
                      <w:sz w:val="21"/>
                      <w:szCs w:val="21"/>
                    </w:rPr>
                    <w:t>Rattusnorvegicus</w:t>
                  </w:r>
                </w:p>
              </w:tc>
              <w:tc>
                <w:tcPr>
                  <w:tcW w:w="511" w:type="pct"/>
                  <w:tcBorders>
                    <w:top w:val="single" w:color="auto" w:sz="4" w:space="0"/>
                    <w:left w:val="single" w:color="auto" w:sz="4" w:space="0"/>
                    <w:bottom w:val="single" w:color="auto" w:sz="4" w:space="0"/>
                    <w:right w:val="single" w:color="auto" w:sz="4" w:space="0"/>
                  </w:tcBorders>
                  <w:vAlign w:val="center"/>
                </w:tcPr>
                <w:p w14:paraId="5606749B">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6BAD99BB">
                  <w:pPr>
                    <w:pStyle w:val="57"/>
                    <w:widowControl w:val="0"/>
                    <w:rPr>
                      <w:i/>
                      <w:color w:val="auto"/>
                      <w:kern w:val="21"/>
                      <w:sz w:val="21"/>
                      <w:szCs w:val="21"/>
                    </w:rPr>
                  </w:pPr>
                  <w:r>
                    <w:rPr>
                      <w:rFonts w:hint="eastAsia"/>
                      <w:color w:val="auto"/>
                      <w:sz w:val="21"/>
                      <w:szCs w:val="21"/>
                    </w:rPr>
                    <w:t>灌木林地、村庄附近</w:t>
                  </w:r>
                </w:p>
              </w:tc>
            </w:tr>
            <w:tr w14:paraId="1DD55A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1923726F">
                  <w:pPr>
                    <w:pStyle w:val="57"/>
                    <w:widowControl w:val="0"/>
                    <w:rPr>
                      <w:color w:val="auto"/>
                      <w:sz w:val="21"/>
                      <w:szCs w:val="21"/>
                    </w:rPr>
                  </w:pPr>
                  <w:r>
                    <w:rPr>
                      <w:color w:val="auto"/>
                      <w:sz w:val="21"/>
                      <w:szCs w:val="21"/>
                    </w:rPr>
                    <w:t>8</w:t>
                  </w:r>
                </w:p>
              </w:tc>
              <w:tc>
                <w:tcPr>
                  <w:tcW w:w="966" w:type="pct"/>
                  <w:tcBorders>
                    <w:top w:val="single" w:color="auto" w:sz="4" w:space="0"/>
                    <w:left w:val="single" w:color="auto" w:sz="4" w:space="0"/>
                    <w:bottom w:val="single" w:color="auto" w:sz="4" w:space="0"/>
                    <w:right w:val="single" w:color="auto" w:sz="4" w:space="0"/>
                  </w:tcBorders>
                  <w:vAlign w:val="center"/>
                </w:tcPr>
                <w:p w14:paraId="7A645016">
                  <w:pPr>
                    <w:pStyle w:val="57"/>
                    <w:widowControl w:val="0"/>
                    <w:rPr>
                      <w:color w:val="auto"/>
                      <w:sz w:val="21"/>
                      <w:szCs w:val="21"/>
                    </w:rPr>
                  </w:pPr>
                  <w:r>
                    <w:rPr>
                      <w:rFonts w:hint="eastAsia"/>
                      <w:color w:val="auto"/>
                      <w:sz w:val="21"/>
                      <w:szCs w:val="21"/>
                    </w:rPr>
                    <w:t>小家鼠</w:t>
                  </w:r>
                </w:p>
              </w:tc>
              <w:tc>
                <w:tcPr>
                  <w:tcW w:w="1275" w:type="pct"/>
                  <w:tcBorders>
                    <w:top w:val="single" w:color="auto" w:sz="4" w:space="0"/>
                    <w:left w:val="single" w:color="auto" w:sz="4" w:space="0"/>
                    <w:bottom w:val="single" w:color="auto" w:sz="4" w:space="0"/>
                    <w:right w:val="single" w:color="auto" w:sz="4" w:space="0"/>
                  </w:tcBorders>
                  <w:vAlign w:val="center"/>
                </w:tcPr>
                <w:p w14:paraId="1FE80573">
                  <w:pPr>
                    <w:pStyle w:val="57"/>
                    <w:widowControl w:val="0"/>
                    <w:rPr>
                      <w:color w:val="auto"/>
                      <w:sz w:val="21"/>
                      <w:szCs w:val="21"/>
                    </w:rPr>
                  </w:pPr>
                  <w:r>
                    <w:rPr>
                      <w:color w:val="auto"/>
                      <w:sz w:val="21"/>
                      <w:szCs w:val="21"/>
                    </w:rPr>
                    <w:t>Musmusculus</w:t>
                  </w:r>
                </w:p>
              </w:tc>
              <w:tc>
                <w:tcPr>
                  <w:tcW w:w="511" w:type="pct"/>
                  <w:tcBorders>
                    <w:top w:val="single" w:color="auto" w:sz="4" w:space="0"/>
                    <w:left w:val="single" w:color="auto" w:sz="4" w:space="0"/>
                    <w:bottom w:val="single" w:color="auto" w:sz="4" w:space="0"/>
                    <w:right w:val="single" w:color="auto" w:sz="4" w:space="0"/>
                  </w:tcBorders>
                  <w:vAlign w:val="center"/>
                </w:tcPr>
                <w:p w14:paraId="128FD8B5">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763AEE16">
                  <w:pPr>
                    <w:pStyle w:val="57"/>
                    <w:widowControl w:val="0"/>
                    <w:rPr>
                      <w:i/>
                      <w:color w:val="auto"/>
                      <w:kern w:val="21"/>
                      <w:sz w:val="21"/>
                      <w:szCs w:val="21"/>
                    </w:rPr>
                  </w:pPr>
                  <w:r>
                    <w:rPr>
                      <w:rFonts w:hint="eastAsia"/>
                      <w:color w:val="auto"/>
                      <w:sz w:val="21"/>
                      <w:szCs w:val="21"/>
                    </w:rPr>
                    <w:t>灌木林地、村庄附近</w:t>
                  </w:r>
                </w:p>
              </w:tc>
            </w:tr>
            <w:tr w14:paraId="77FB62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4DE03CC9">
                  <w:pPr>
                    <w:pStyle w:val="57"/>
                    <w:widowControl w:val="0"/>
                    <w:rPr>
                      <w:color w:val="auto"/>
                      <w:sz w:val="21"/>
                      <w:szCs w:val="21"/>
                    </w:rPr>
                  </w:pPr>
                  <w:r>
                    <w:rPr>
                      <w:color w:val="auto"/>
                      <w:sz w:val="21"/>
                      <w:szCs w:val="21"/>
                    </w:rPr>
                    <w:t>9</w:t>
                  </w:r>
                </w:p>
              </w:tc>
              <w:tc>
                <w:tcPr>
                  <w:tcW w:w="966" w:type="pct"/>
                  <w:tcBorders>
                    <w:top w:val="single" w:color="auto" w:sz="4" w:space="0"/>
                    <w:left w:val="single" w:color="auto" w:sz="4" w:space="0"/>
                    <w:bottom w:val="single" w:color="auto" w:sz="4" w:space="0"/>
                    <w:right w:val="single" w:color="auto" w:sz="4" w:space="0"/>
                  </w:tcBorders>
                  <w:vAlign w:val="center"/>
                </w:tcPr>
                <w:p w14:paraId="127D83B4">
                  <w:pPr>
                    <w:pStyle w:val="57"/>
                    <w:widowControl w:val="0"/>
                    <w:rPr>
                      <w:color w:val="auto"/>
                      <w:sz w:val="21"/>
                      <w:szCs w:val="21"/>
                    </w:rPr>
                  </w:pPr>
                  <w:r>
                    <w:rPr>
                      <w:rFonts w:hint="eastAsia"/>
                      <w:color w:val="auto"/>
                      <w:sz w:val="21"/>
                      <w:szCs w:val="21"/>
                    </w:rPr>
                    <w:t>黑线仓鼠</w:t>
                  </w:r>
                </w:p>
              </w:tc>
              <w:tc>
                <w:tcPr>
                  <w:tcW w:w="1275" w:type="pct"/>
                  <w:tcBorders>
                    <w:top w:val="single" w:color="auto" w:sz="4" w:space="0"/>
                    <w:left w:val="single" w:color="auto" w:sz="4" w:space="0"/>
                    <w:bottom w:val="single" w:color="auto" w:sz="4" w:space="0"/>
                    <w:right w:val="single" w:color="auto" w:sz="4" w:space="0"/>
                  </w:tcBorders>
                  <w:vAlign w:val="center"/>
                </w:tcPr>
                <w:p w14:paraId="5DC84B99">
                  <w:pPr>
                    <w:pStyle w:val="57"/>
                    <w:widowControl w:val="0"/>
                    <w:rPr>
                      <w:color w:val="auto"/>
                      <w:sz w:val="21"/>
                      <w:szCs w:val="21"/>
                    </w:rPr>
                  </w:pPr>
                  <w:r>
                    <w:rPr>
                      <w:color w:val="auto"/>
                      <w:sz w:val="21"/>
                      <w:szCs w:val="21"/>
                    </w:rPr>
                    <w:t>Cricetulusbarabensis</w:t>
                  </w:r>
                </w:p>
              </w:tc>
              <w:tc>
                <w:tcPr>
                  <w:tcW w:w="511" w:type="pct"/>
                  <w:tcBorders>
                    <w:top w:val="single" w:color="auto" w:sz="4" w:space="0"/>
                    <w:left w:val="single" w:color="auto" w:sz="4" w:space="0"/>
                    <w:bottom w:val="single" w:color="auto" w:sz="4" w:space="0"/>
                    <w:right w:val="single" w:color="auto" w:sz="4" w:space="0"/>
                  </w:tcBorders>
                  <w:vAlign w:val="center"/>
                </w:tcPr>
                <w:p w14:paraId="6845E995">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1D7D95DC">
                  <w:pPr>
                    <w:pStyle w:val="57"/>
                    <w:widowControl w:val="0"/>
                    <w:rPr>
                      <w:i/>
                      <w:color w:val="auto"/>
                      <w:kern w:val="21"/>
                      <w:sz w:val="21"/>
                      <w:szCs w:val="21"/>
                    </w:rPr>
                  </w:pPr>
                  <w:r>
                    <w:rPr>
                      <w:rFonts w:hint="eastAsia"/>
                      <w:color w:val="auto"/>
                      <w:sz w:val="21"/>
                      <w:szCs w:val="21"/>
                    </w:rPr>
                    <w:t>灌木林地、耕地</w:t>
                  </w:r>
                </w:p>
              </w:tc>
            </w:tr>
            <w:tr w14:paraId="2C5E17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4" w:space="0"/>
                    <w:right w:val="single" w:color="auto" w:sz="4" w:space="0"/>
                  </w:tcBorders>
                  <w:vAlign w:val="center"/>
                </w:tcPr>
                <w:p w14:paraId="452D80CC">
                  <w:pPr>
                    <w:pStyle w:val="57"/>
                    <w:widowControl w:val="0"/>
                    <w:rPr>
                      <w:color w:val="auto"/>
                      <w:sz w:val="21"/>
                      <w:szCs w:val="21"/>
                    </w:rPr>
                  </w:pPr>
                  <w:r>
                    <w:rPr>
                      <w:color w:val="auto"/>
                      <w:sz w:val="21"/>
                      <w:szCs w:val="21"/>
                    </w:rPr>
                    <w:t>10</w:t>
                  </w:r>
                </w:p>
              </w:tc>
              <w:tc>
                <w:tcPr>
                  <w:tcW w:w="966" w:type="pct"/>
                  <w:tcBorders>
                    <w:top w:val="single" w:color="auto" w:sz="4" w:space="0"/>
                    <w:left w:val="single" w:color="auto" w:sz="4" w:space="0"/>
                    <w:bottom w:val="single" w:color="auto" w:sz="4" w:space="0"/>
                    <w:right w:val="single" w:color="auto" w:sz="4" w:space="0"/>
                  </w:tcBorders>
                  <w:vAlign w:val="center"/>
                </w:tcPr>
                <w:p w14:paraId="4FAC96A2">
                  <w:pPr>
                    <w:pStyle w:val="57"/>
                    <w:widowControl w:val="0"/>
                    <w:rPr>
                      <w:color w:val="auto"/>
                      <w:sz w:val="21"/>
                      <w:szCs w:val="21"/>
                    </w:rPr>
                  </w:pPr>
                  <w:r>
                    <w:rPr>
                      <w:rFonts w:hint="eastAsia"/>
                      <w:color w:val="auto"/>
                      <w:sz w:val="21"/>
                      <w:szCs w:val="21"/>
                    </w:rPr>
                    <w:t>布氏田鼠</w:t>
                  </w:r>
                </w:p>
              </w:tc>
              <w:tc>
                <w:tcPr>
                  <w:tcW w:w="1275" w:type="pct"/>
                  <w:tcBorders>
                    <w:top w:val="single" w:color="auto" w:sz="4" w:space="0"/>
                    <w:left w:val="single" w:color="auto" w:sz="4" w:space="0"/>
                    <w:bottom w:val="single" w:color="auto" w:sz="4" w:space="0"/>
                    <w:right w:val="single" w:color="auto" w:sz="4" w:space="0"/>
                  </w:tcBorders>
                  <w:vAlign w:val="center"/>
                </w:tcPr>
                <w:p w14:paraId="23C81EA3">
                  <w:pPr>
                    <w:pStyle w:val="57"/>
                    <w:widowControl w:val="0"/>
                    <w:rPr>
                      <w:color w:val="auto"/>
                      <w:sz w:val="21"/>
                      <w:szCs w:val="21"/>
                    </w:rPr>
                  </w:pPr>
                  <w:r>
                    <w:rPr>
                      <w:color w:val="auto"/>
                      <w:sz w:val="21"/>
                      <w:szCs w:val="21"/>
                    </w:rPr>
                    <w:t>Microtusbrandti</w:t>
                  </w:r>
                </w:p>
              </w:tc>
              <w:tc>
                <w:tcPr>
                  <w:tcW w:w="511" w:type="pct"/>
                  <w:tcBorders>
                    <w:top w:val="single" w:color="auto" w:sz="4" w:space="0"/>
                    <w:left w:val="single" w:color="auto" w:sz="4" w:space="0"/>
                    <w:bottom w:val="single" w:color="auto" w:sz="4" w:space="0"/>
                    <w:right w:val="single" w:color="auto" w:sz="4" w:space="0"/>
                  </w:tcBorders>
                  <w:vAlign w:val="center"/>
                </w:tcPr>
                <w:p w14:paraId="074D4EA9">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4" w:space="0"/>
                    <w:right w:val="nil"/>
                  </w:tcBorders>
                  <w:vAlign w:val="center"/>
                </w:tcPr>
                <w:p w14:paraId="75916FC4">
                  <w:pPr>
                    <w:pStyle w:val="57"/>
                    <w:widowControl w:val="0"/>
                    <w:rPr>
                      <w:color w:val="auto"/>
                      <w:sz w:val="21"/>
                      <w:szCs w:val="21"/>
                    </w:rPr>
                  </w:pPr>
                  <w:r>
                    <w:rPr>
                      <w:rFonts w:hint="eastAsia"/>
                      <w:color w:val="auto"/>
                      <w:sz w:val="21"/>
                      <w:szCs w:val="21"/>
                    </w:rPr>
                    <w:t>山坡草地、</w:t>
                  </w:r>
                  <w:r>
                    <w:rPr>
                      <w:rFonts w:hint="eastAsia" w:cs="宋体"/>
                      <w:color w:val="auto"/>
                      <w:sz w:val="21"/>
                      <w:szCs w:val="21"/>
                    </w:rPr>
                    <w:t>灌木林地</w:t>
                  </w:r>
                </w:p>
              </w:tc>
            </w:tr>
            <w:tr w14:paraId="114298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24" w:type="pct"/>
                  <w:tcBorders>
                    <w:top w:val="single" w:color="auto" w:sz="4" w:space="0"/>
                    <w:left w:val="nil"/>
                    <w:bottom w:val="single" w:color="auto" w:sz="12" w:space="0"/>
                    <w:right w:val="single" w:color="auto" w:sz="4" w:space="0"/>
                  </w:tcBorders>
                  <w:vAlign w:val="center"/>
                </w:tcPr>
                <w:p w14:paraId="4D14383A">
                  <w:pPr>
                    <w:pStyle w:val="57"/>
                    <w:widowControl w:val="0"/>
                    <w:rPr>
                      <w:color w:val="auto"/>
                      <w:sz w:val="21"/>
                      <w:szCs w:val="21"/>
                    </w:rPr>
                  </w:pPr>
                  <w:r>
                    <w:rPr>
                      <w:color w:val="auto"/>
                      <w:sz w:val="21"/>
                      <w:szCs w:val="21"/>
                    </w:rPr>
                    <w:t>11</w:t>
                  </w:r>
                </w:p>
              </w:tc>
              <w:tc>
                <w:tcPr>
                  <w:tcW w:w="966" w:type="pct"/>
                  <w:tcBorders>
                    <w:top w:val="single" w:color="auto" w:sz="4" w:space="0"/>
                    <w:left w:val="single" w:color="auto" w:sz="4" w:space="0"/>
                    <w:bottom w:val="single" w:color="auto" w:sz="12" w:space="0"/>
                    <w:right w:val="single" w:color="auto" w:sz="4" w:space="0"/>
                  </w:tcBorders>
                  <w:vAlign w:val="center"/>
                </w:tcPr>
                <w:p w14:paraId="52B8896C">
                  <w:pPr>
                    <w:pStyle w:val="57"/>
                    <w:widowControl w:val="0"/>
                    <w:rPr>
                      <w:color w:val="auto"/>
                      <w:sz w:val="21"/>
                      <w:szCs w:val="21"/>
                    </w:rPr>
                  </w:pPr>
                  <w:r>
                    <w:rPr>
                      <w:rFonts w:hint="eastAsia"/>
                      <w:color w:val="auto"/>
                      <w:sz w:val="21"/>
                      <w:szCs w:val="21"/>
                    </w:rPr>
                    <w:t>草原鼢鼠</w:t>
                  </w:r>
                </w:p>
              </w:tc>
              <w:tc>
                <w:tcPr>
                  <w:tcW w:w="1275" w:type="pct"/>
                  <w:tcBorders>
                    <w:top w:val="single" w:color="auto" w:sz="4" w:space="0"/>
                    <w:left w:val="single" w:color="auto" w:sz="4" w:space="0"/>
                    <w:bottom w:val="single" w:color="auto" w:sz="12" w:space="0"/>
                    <w:right w:val="single" w:color="auto" w:sz="4" w:space="0"/>
                  </w:tcBorders>
                  <w:vAlign w:val="center"/>
                </w:tcPr>
                <w:p w14:paraId="4C0E8A10">
                  <w:pPr>
                    <w:pStyle w:val="57"/>
                    <w:widowControl w:val="0"/>
                    <w:rPr>
                      <w:color w:val="auto"/>
                      <w:sz w:val="21"/>
                      <w:szCs w:val="21"/>
                    </w:rPr>
                  </w:pPr>
                  <w:r>
                    <w:rPr>
                      <w:color w:val="auto"/>
                      <w:sz w:val="21"/>
                      <w:szCs w:val="21"/>
                    </w:rPr>
                    <w:t>Myospalaxaspalax</w:t>
                  </w:r>
                </w:p>
              </w:tc>
              <w:tc>
                <w:tcPr>
                  <w:tcW w:w="511" w:type="pct"/>
                  <w:tcBorders>
                    <w:top w:val="single" w:color="auto" w:sz="4" w:space="0"/>
                    <w:left w:val="single" w:color="auto" w:sz="4" w:space="0"/>
                    <w:bottom w:val="single" w:color="auto" w:sz="12" w:space="0"/>
                    <w:right w:val="single" w:color="auto" w:sz="4" w:space="0"/>
                  </w:tcBorders>
                  <w:vAlign w:val="center"/>
                </w:tcPr>
                <w:p w14:paraId="69105BE2">
                  <w:pPr>
                    <w:pStyle w:val="57"/>
                    <w:widowControl w:val="0"/>
                    <w:rPr>
                      <w:color w:val="auto"/>
                      <w:sz w:val="21"/>
                      <w:szCs w:val="21"/>
                    </w:rPr>
                  </w:pPr>
                  <w:r>
                    <w:rPr>
                      <w:color w:val="auto"/>
                      <w:sz w:val="21"/>
                      <w:szCs w:val="21"/>
                    </w:rPr>
                    <w:t>/</w:t>
                  </w:r>
                </w:p>
              </w:tc>
              <w:tc>
                <w:tcPr>
                  <w:tcW w:w="1721" w:type="pct"/>
                  <w:tcBorders>
                    <w:top w:val="single" w:color="auto" w:sz="4" w:space="0"/>
                    <w:left w:val="single" w:color="auto" w:sz="4" w:space="0"/>
                    <w:bottom w:val="single" w:color="auto" w:sz="12" w:space="0"/>
                    <w:right w:val="nil"/>
                  </w:tcBorders>
                  <w:vAlign w:val="center"/>
                </w:tcPr>
                <w:p w14:paraId="52BE2887">
                  <w:pPr>
                    <w:pStyle w:val="57"/>
                    <w:widowControl w:val="0"/>
                    <w:rPr>
                      <w:color w:val="auto"/>
                      <w:sz w:val="21"/>
                      <w:szCs w:val="21"/>
                    </w:rPr>
                  </w:pPr>
                  <w:r>
                    <w:rPr>
                      <w:rFonts w:hint="eastAsia"/>
                      <w:color w:val="auto"/>
                      <w:sz w:val="21"/>
                      <w:szCs w:val="21"/>
                    </w:rPr>
                    <w:t>草地、农田</w:t>
                  </w:r>
                </w:p>
              </w:tc>
            </w:tr>
          </w:tbl>
          <w:p w14:paraId="28A36F07">
            <w:pPr>
              <w:spacing w:line="360" w:lineRule="auto"/>
              <w:ind w:firstLine="420" w:firstLineChars="200"/>
              <w:rPr>
                <w:rFonts w:eastAsia="Times New Roman"/>
                <w:color w:val="auto"/>
                <w:szCs w:val="21"/>
              </w:rPr>
            </w:pPr>
          </w:p>
        </w:tc>
      </w:tr>
      <w:tr w14:paraId="65B947F2">
        <w:tblPrEx>
          <w:tblBorders>
            <w:top w:val="single" w:color="000000" w:sz="8" w:space="0"/>
            <w:left w:val="single" w:color="000000" w:sz="8" w:space="0"/>
            <w:bottom w:val="single" w:color="000000" w:sz="4" w:space="0"/>
            <w:right w:val="single" w:color="000000" w:sz="8" w:space="0"/>
            <w:insideH w:val="single" w:color="000000" w:sz="8" w:space="0"/>
            <w:insideV w:val="single" w:color="000000" w:sz="4" w:space="0"/>
          </w:tblBorders>
          <w:tblCellMar>
            <w:top w:w="0" w:type="dxa"/>
            <w:left w:w="108" w:type="dxa"/>
            <w:bottom w:w="0" w:type="dxa"/>
            <w:right w:w="108" w:type="dxa"/>
          </w:tblCellMar>
        </w:tblPrEx>
        <w:trPr>
          <w:trHeight w:val="502" w:hRule="atLeast"/>
          <w:jc w:val="center"/>
        </w:trPr>
        <w:tc>
          <w:tcPr>
            <w:tcW w:w="456" w:type="dxa"/>
            <w:tcBorders>
              <w:tl2br w:val="nil"/>
              <w:tr2bl w:val="nil"/>
            </w:tcBorders>
            <w:vAlign w:val="center"/>
          </w:tcPr>
          <w:p w14:paraId="349AE3A8">
            <w:pPr>
              <w:spacing w:line="360" w:lineRule="auto"/>
              <w:jc w:val="center"/>
              <w:rPr>
                <w:rFonts w:eastAsia="Times New Roman"/>
                <w:color w:val="auto"/>
                <w:sz w:val="24"/>
              </w:rPr>
            </w:pPr>
            <w:r>
              <w:rPr>
                <w:rFonts w:eastAsia="Times New Roman"/>
                <w:color w:val="auto"/>
                <w:sz w:val="24"/>
              </w:rPr>
              <w:t>与项目有关的原有环境污染和生态破坏问题</w:t>
            </w:r>
          </w:p>
        </w:tc>
        <w:tc>
          <w:tcPr>
            <w:tcW w:w="8446" w:type="dxa"/>
            <w:tcBorders>
              <w:tl2br w:val="nil"/>
              <w:tr2bl w:val="nil"/>
            </w:tcBorders>
            <w:vAlign w:val="top"/>
          </w:tcPr>
          <w:p w14:paraId="626918BD">
            <w:pPr>
              <w:pStyle w:val="7"/>
              <w:spacing w:after="0" w:line="360" w:lineRule="auto"/>
              <w:ind w:firstLine="482" w:firstLineChars="200"/>
              <w:rPr>
                <w:rFonts w:hint="default"/>
                <w:b/>
                <w:bCs/>
                <w:color w:val="auto"/>
                <w:sz w:val="24"/>
                <w:lang w:val="en-US" w:eastAsia="zh-CN"/>
              </w:rPr>
            </w:pPr>
            <w:r>
              <w:rPr>
                <w:rFonts w:hint="eastAsia"/>
                <w:b/>
                <w:bCs/>
                <w:color w:val="auto"/>
                <w:sz w:val="24"/>
                <w:lang w:val="en-US" w:eastAsia="zh-CN"/>
              </w:rPr>
              <w:t>一、现有工程概况</w:t>
            </w:r>
          </w:p>
          <w:p w14:paraId="3A4F1711">
            <w:pPr>
              <w:spacing w:line="360" w:lineRule="auto"/>
              <w:ind w:firstLine="480" w:firstLineChars="200"/>
              <w:rPr>
                <w:rFonts w:hint="default" w:ascii="Times New Roman" w:hAnsi="Times New Roman" w:eastAsia="宋体" w:cs="Times New Roman"/>
                <w:color w:val="auto"/>
                <w:sz w:val="24"/>
                <w:szCs w:val="32"/>
                <w:lang w:val="en-US" w:eastAsia="zh-CN"/>
              </w:rPr>
            </w:pPr>
            <w:r>
              <w:rPr>
                <w:rFonts w:hint="eastAsia" w:cs="Times New Roman"/>
                <w:color w:val="auto"/>
                <w:sz w:val="24"/>
                <w:szCs w:val="32"/>
                <w:lang w:val="en-US" w:eastAsia="zh-CN"/>
              </w:rPr>
              <w:t>1、项目基本情况</w:t>
            </w:r>
          </w:p>
          <w:p w14:paraId="6525F3A8">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内蒙古蒙东能源有限公司隶属于国家能源集团，在呼伦贝尔市注册成立。公司主要涉足矿业采掘、电力生产、技术咨询和投资。公司优势互补，积极实施煤电一体化发展战略，以实现双赢为目的，以强大的实力开发呼伦贝尔地区的煤炭资源和电力资源。</w:t>
            </w:r>
          </w:p>
          <w:p w14:paraId="599EFDAF">
            <w:pPr>
              <w:spacing w:line="360" w:lineRule="auto"/>
              <w:ind w:firstLine="480" w:firstLineChars="200"/>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2006年4月，由内蒙古自治区环境科学研究院编制完成《内蒙古伊敏河东矿区第一煤矿项目》环境影响报告书，并于2007年1月30日取得原国家环境保护总局关于本项目的环评批复，批复文号为环审【2007】37号。</w:t>
            </w:r>
            <w:r>
              <w:rPr>
                <w:rFonts w:hint="default" w:ascii="Times New Roman" w:hAnsi="Times New Roman" w:eastAsia="宋体" w:cs="Times New Roman"/>
                <w:color w:val="auto"/>
                <w:sz w:val="24"/>
                <w:szCs w:val="32"/>
                <w:lang w:val="en-US" w:eastAsia="zh-CN"/>
              </w:rPr>
              <w:t>2017</w:t>
            </w:r>
            <w:r>
              <w:rPr>
                <w:rFonts w:hint="eastAsia" w:ascii="Times New Roman" w:hAnsi="Times New Roman" w:eastAsia="宋体" w:cs="Times New Roman"/>
                <w:color w:val="auto"/>
                <w:sz w:val="24"/>
                <w:szCs w:val="32"/>
                <w:lang w:val="en-US" w:eastAsia="zh-CN"/>
              </w:rPr>
              <w:t>年</w:t>
            </w:r>
            <w:r>
              <w:rPr>
                <w:rFonts w:hint="default" w:ascii="Times New Roman" w:hAnsi="Times New Roman" w:eastAsia="宋体" w:cs="Times New Roman"/>
                <w:color w:val="auto"/>
                <w:sz w:val="24"/>
                <w:szCs w:val="32"/>
                <w:lang w:val="en-US" w:eastAsia="zh-CN"/>
              </w:rPr>
              <w:t>11</w:t>
            </w:r>
            <w:r>
              <w:rPr>
                <w:rFonts w:hint="eastAsia" w:ascii="Times New Roman" w:hAnsi="Times New Roman" w:eastAsia="宋体" w:cs="Times New Roman"/>
                <w:color w:val="auto"/>
                <w:sz w:val="24"/>
                <w:szCs w:val="32"/>
                <w:lang w:val="en-US" w:eastAsia="zh-CN"/>
              </w:rPr>
              <w:t>月</w:t>
            </w:r>
            <w:r>
              <w:rPr>
                <w:rFonts w:hint="default" w:ascii="Times New Roman" w:hAnsi="Times New Roman" w:eastAsia="宋体" w:cs="Times New Roman"/>
                <w:color w:val="auto"/>
                <w:sz w:val="24"/>
                <w:szCs w:val="32"/>
                <w:lang w:val="en-US" w:eastAsia="zh-CN"/>
              </w:rPr>
              <w:t>29</w:t>
            </w:r>
            <w:r>
              <w:rPr>
                <w:rFonts w:hint="eastAsia" w:ascii="Times New Roman" w:hAnsi="Times New Roman" w:eastAsia="宋体" w:cs="Times New Roman"/>
                <w:color w:val="auto"/>
                <w:sz w:val="24"/>
                <w:szCs w:val="32"/>
                <w:lang w:val="en-US" w:eastAsia="zh-CN"/>
              </w:rPr>
              <w:t>日</w:t>
            </w:r>
            <w:r>
              <w:rPr>
                <w:rFonts w:hint="eastAsia" w:cs="Times New Roman"/>
                <w:color w:val="auto"/>
                <w:sz w:val="24"/>
                <w:szCs w:val="32"/>
                <w:lang w:val="en-US" w:eastAsia="zh-CN"/>
              </w:rPr>
              <w:t>，</w:t>
            </w:r>
            <w:r>
              <w:rPr>
                <w:rFonts w:hint="eastAsia" w:ascii="Times New Roman" w:hAnsi="Times New Roman" w:eastAsia="宋体" w:cs="Times New Roman"/>
                <w:color w:val="auto"/>
                <w:sz w:val="24"/>
                <w:szCs w:val="32"/>
                <w:lang w:val="en-US" w:eastAsia="zh-CN"/>
              </w:rPr>
              <w:t>内蒙古蒙东能源有限公司</w:t>
            </w:r>
            <w:r>
              <w:rPr>
                <w:rFonts w:hint="eastAsia" w:cs="Times New Roman"/>
                <w:color w:val="auto"/>
                <w:sz w:val="24"/>
                <w:szCs w:val="32"/>
                <w:lang w:val="en-US" w:eastAsia="zh-CN"/>
              </w:rPr>
              <w:t>对部分环保措施进行自主验收并顺利通过。2019年4月27日，</w:t>
            </w:r>
            <w:r>
              <w:rPr>
                <w:rFonts w:hint="eastAsia" w:ascii="Times New Roman" w:hAnsi="Times New Roman" w:eastAsia="宋体" w:cs="Times New Roman"/>
                <w:color w:val="auto"/>
                <w:sz w:val="24"/>
                <w:szCs w:val="32"/>
                <w:lang w:val="en-US" w:eastAsia="zh-CN"/>
              </w:rPr>
              <w:t>内蒙古蒙东能源有限公司</w:t>
            </w:r>
            <w:r>
              <w:rPr>
                <w:rFonts w:hint="eastAsia" w:cs="Times New Roman"/>
                <w:color w:val="auto"/>
                <w:sz w:val="24"/>
                <w:szCs w:val="32"/>
                <w:lang w:val="en-US" w:eastAsia="zh-CN"/>
              </w:rPr>
              <w:t>对废水、固废以及噪声相关内容进行自主验收，并顺利通过。后由于因新修订的《中华人民共和国固体废物污染环境</w:t>
            </w:r>
            <w:r>
              <w:rPr>
                <w:rFonts w:hint="eastAsia" w:ascii="Times New Roman" w:hAnsi="Times New Roman" w:eastAsia="宋体" w:cs="Times New Roman"/>
                <w:color w:val="auto"/>
                <w:sz w:val="24"/>
                <w:szCs w:val="32"/>
                <w:lang w:val="en-US" w:eastAsia="zh-CN"/>
              </w:rPr>
              <w:t>防治法》于2020年9月1日正式实施，内蒙古蒙东能源有限公司敏东一矿于2020年9月2日再次对固废项目进行验收，验收顺利通过。内蒙古蒙东能源有限公司已取得排污许可证，发证日期为2023年8月17日。</w:t>
            </w:r>
          </w:p>
          <w:p w14:paraId="2DD9D341">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 xml:space="preserve">项目名称：内蒙古蒙东能源有限公司伊敏河东矿区第一煤矿 </w:t>
            </w:r>
          </w:p>
          <w:p w14:paraId="67BF604F">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cs="Times New Roman"/>
                <w:color w:val="auto"/>
                <w:sz w:val="24"/>
                <w:szCs w:val="32"/>
                <w:lang w:val="en-US" w:eastAsia="zh-CN"/>
              </w:rPr>
              <w:t>建设单位</w:t>
            </w:r>
            <w:r>
              <w:rPr>
                <w:rFonts w:hint="eastAsia" w:ascii="Times New Roman" w:hAnsi="Times New Roman" w:eastAsia="宋体" w:cs="Times New Roman"/>
                <w:color w:val="auto"/>
                <w:sz w:val="24"/>
                <w:szCs w:val="32"/>
                <w:lang w:val="en-US" w:eastAsia="zh-CN"/>
              </w:rPr>
              <w:t>：内蒙古蒙东能源有限公司</w:t>
            </w:r>
          </w:p>
          <w:p w14:paraId="11A40209">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建设性质：新建</w:t>
            </w:r>
          </w:p>
          <w:p w14:paraId="05AA0740">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建设规模：</w:t>
            </w:r>
            <w:r>
              <w:rPr>
                <w:rFonts w:hint="eastAsia" w:cs="Times New Roman"/>
                <w:color w:val="auto"/>
                <w:sz w:val="24"/>
                <w:szCs w:val="32"/>
                <w:lang w:val="en-US" w:eastAsia="zh-CN"/>
              </w:rPr>
              <w:t>5</w:t>
            </w:r>
            <w:r>
              <w:rPr>
                <w:rFonts w:hint="eastAsia" w:ascii="Times New Roman" w:hAnsi="Times New Roman" w:eastAsia="宋体" w:cs="Times New Roman"/>
                <w:color w:val="auto"/>
                <w:sz w:val="24"/>
                <w:szCs w:val="32"/>
                <w:lang w:val="en-US" w:eastAsia="zh-CN"/>
              </w:rPr>
              <w:t>.0Mt/a</w:t>
            </w:r>
          </w:p>
          <w:p w14:paraId="6D6EF5F4">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建设地点：内蒙古自治区呼伦贝尔市鄂温克族自治旗</w:t>
            </w:r>
          </w:p>
          <w:p w14:paraId="04D0D307">
            <w:pPr>
              <w:spacing w:line="360" w:lineRule="auto"/>
              <w:jc w:val="center"/>
              <w:rPr>
                <w:rFonts w:hint="eastAsia" w:cs="Times New Roman"/>
                <w:b/>
                <w:bCs/>
                <w:color w:val="auto"/>
                <w:szCs w:val="21"/>
                <w:lang w:val="en-US" w:eastAsia="zh-CN"/>
              </w:rPr>
            </w:pPr>
            <w:r>
              <w:rPr>
                <w:rFonts w:hint="eastAsia" w:cs="Times New Roman"/>
                <w:b/>
                <w:bCs/>
                <w:color w:val="auto"/>
                <w:szCs w:val="21"/>
                <w:lang w:val="en-US" w:eastAsia="zh-CN"/>
              </w:rPr>
              <w:t>表3-9    现有工程项目组成一览表</w:t>
            </w:r>
          </w:p>
          <w:tbl>
            <w:tblPr>
              <w:tblStyle w:val="54"/>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44"/>
              <w:gridCol w:w="399"/>
              <w:gridCol w:w="930"/>
              <w:gridCol w:w="6503"/>
            </w:tblGrid>
            <w:tr w14:paraId="5B8C4FA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118" w:type="pct"/>
                  <w:gridSpan w:val="3"/>
                  <w:tcBorders>
                    <w:tl2br w:val="nil"/>
                    <w:tr2bl w:val="nil"/>
                  </w:tcBorders>
                  <w:vAlign w:val="center"/>
                </w:tcPr>
                <w:p w14:paraId="2DD9A08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工程类别</w:t>
                  </w:r>
                </w:p>
              </w:tc>
              <w:tc>
                <w:tcPr>
                  <w:tcW w:w="3881" w:type="pct"/>
                  <w:tcBorders>
                    <w:tl2br w:val="nil"/>
                    <w:tr2bl w:val="nil"/>
                  </w:tcBorders>
                  <w:vAlign w:val="center"/>
                </w:tcPr>
                <w:p w14:paraId="32D58F8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工程内容</w:t>
                  </w:r>
                </w:p>
              </w:tc>
            </w:tr>
            <w:tr w14:paraId="2CD8999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restart"/>
                  <w:tcBorders>
                    <w:tl2br w:val="nil"/>
                    <w:tr2bl w:val="nil"/>
                  </w:tcBorders>
                  <w:vAlign w:val="center"/>
                </w:tcPr>
                <w:p w14:paraId="5EFC9C2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主体 工程</w:t>
                  </w:r>
                </w:p>
              </w:tc>
              <w:tc>
                <w:tcPr>
                  <w:tcW w:w="238" w:type="pct"/>
                  <w:vMerge w:val="restart"/>
                  <w:tcBorders>
                    <w:tl2br w:val="nil"/>
                    <w:tr2bl w:val="nil"/>
                  </w:tcBorders>
                  <w:vAlign w:val="center"/>
                </w:tcPr>
                <w:p w14:paraId="250E5C6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 井 工 程</w:t>
                  </w:r>
                </w:p>
              </w:tc>
              <w:tc>
                <w:tcPr>
                  <w:tcW w:w="554" w:type="pct"/>
                  <w:tcBorders>
                    <w:tl2br w:val="nil"/>
                    <w:tr2bl w:val="nil"/>
                  </w:tcBorders>
                  <w:vAlign w:val="center"/>
                </w:tcPr>
                <w:p w14:paraId="657241B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主立井</w:t>
                  </w:r>
                </w:p>
              </w:tc>
              <w:tc>
                <w:tcPr>
                  <w:tcW w:w="3881" w:type="pct"/>
                  <w:tcBorders>
                    <w:tl2br w:val="nil"/>
                    <w:tr2bl w:val="nil"/>
                  </w:tcBorders>
                  <w:vAlign w:val="center"/>
                </w:tcPr>
                <w:p w14:paraId="03F4CF9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净径6.0m、井深370m；安装箕斗，担负矿井煤炭提升的任务</w:t>
                  </w:r>
                </w:p>
              </w:tc>
            </w:tr>
            <w:tr w14:paraId="4984B7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1517AFB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238" w:type="pct"/>
                  <w:vMerge w:val="continue"/>
                  <w:tcBorders>
                    <w:tl2br w:val="nil"/>
                    <w:tr2bl w:val="nil"/>
                  </w:tcBorders>
                  <w:textDirection w:val="tbRlV"/>
                  <w:vAlign w:val="center"/>
                </w:tcPr>
                <w:p w14:paraId="5B59652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554" w:type="pct"/>
                  <w:tcBorders>
                    <w:tl2br w:val="nil"/>
                    <w:tr2bl w:val="nil"/>
                  </w:tcBorders>
                  <w:vAlign w:val="center"/>
                </w:tcPr>
                <w:p w14:paraId="5C19EFD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副立井</w:t>
                  </w:r>
                </w:p>
              </w:tc>
              <w:tc>
                <w:tcPr>
                  <w:tcW w:w="3881" w:type="pct"/>
                  <w:tcBorders>
                    <w:tl2br w:val="nil"/>
                    <w:tr2bl w:val="nil"/>
                  </w:tcBorders>
                  <w:vAlign w:val="center"/>
                </w:tcPr>
                <w:p w14:paraId="1CCB9E3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净径7.0m、井深 405m；安装罐笼，担负矿井辅助提升的任务，兼做入风井，井筒内设有梯子间，作为矿井安全出口。</w:t>
                  </w:r>
                </w:p>
              </w:tc>
            </w:tr>
            <w:tr w14:paraId="6B96493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5E48256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238" w:type="pct"/>
                  <w:vMerge w:val="continue"/>
                  <w:tcBorders>
                    <w:tl2br w:val="nil"/>
                    <w:tr2bl w:val="nil"/>
                  </w:tcBorders>
                  <w:textDirection w:val="tbRlV"/>
                  <w:vAlign w:val="center"/>
                </w:tcPr>
                <w:p w14:paraId="1B39E25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554" w:type="pct"/>
                  <w:tcBorders>
                    <w:tl2br w:val="nil"/>
                    <w:tr2bl w:val="nil"/>
                  </w:tcBorders>
                  <w:vAlign w:val="center"/>
                </w:tcPr>
                <w:p w14:paraId="0701631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风井</w:t>
                  </w:r>
                </w:p>
              </w:tc>
              <w:tc>
                <w:tcPr>
                  <w:tcW w:w="3881" w:type="pct"/>
                  <w:tcBorders>
                    <w:tl2br w:val="nil"/>
                    <w:tr2bl w:val="nil"/>
                  </w:tcBorders>
                  <w:vAlign w:val="center"/>
                </w:tcPr>
                <w:p w14:paraId="5F00D8C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净径5.0m ，井深 360m，担负全矿井的回风任务。井筒内设有梯子间，作为矿井安全出口。</w:t>
                  </w:r>
                </w:p>
              </w:tc>
            </w:tr>
            <w:tr w14:paraId="6D83B5A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4A1B59C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238" w:type="pct"/>
                  <w:vMerge w:val="continue"/>
                  <w:tcBorders>
                    <w:tl2br w:val="nil"/>
                    <w:tr2bl w:val="nil"/>
                  </w:tcBorders>
                  <w:textDirection w:val="tbRlV"/>
                  <w:vAlign w:val="center"/>
                </w:tcPr>
                <w:p w14:paraId="1019A97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554" w:type="pct"/>
                  <w:tcBorders>
                    <w:tl2br w:val="nil"/>
                    <w:tr2bl w:val="nil"/>
                  </w:tcBorders>
                  <w:vAlign w:val="center"/>
                </w:tcPr>
                <w:p w14:paraId="21DEA12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通风机房</w:t>
                  </w:r>
                </w:p>
              </w:tc>
              <w:tc>
                <w:tcPr>
                  <w:tcW w:w="3881" w:type="pct"/>
                  <w:tcBorders>
                    <w:tl2br w:val="nil"/>
                    <w:tr2bl w:val="nil"/>
                  </w:tcBorders>
                  <w:vAlign w:val="center"/>
                </w:tcPr>
                <w:p w14:paraId="2D00F02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风机：GAF26.6-16-1轴流式2台1用1备，电机：500kW，10kV，742r/min</w:t>
                  </w:r>
                </w:p>
              </w:tc>
            </w:tr>
            <w:tr w14:paraId="5FD97A3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7240E12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238" w:type="pct"/>
                  <w:vMerge w:val="continue"/>
                  <w:tcBorders>
                    <w:tl2br w:val="nil"/>
                    <w:tr2bl w:val="nil"/>
                  </w:tcBorders>
                  <w:textDirection w:val="tbRlV"/>
                  <w:vAlign w:val="center"/>
                </w:tcPr>
                <w:p w14:paraId="74CDC8C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554" w:type="pct"/>
                  <w:tcBorders>
                    <w:tl2br w:val="nil"/>
                    <w:tr2bl w:val="nil"/>
                  </w:tcBorders>
                  <w:vAlign w:val="center"/>
                </w:tcPr>
                <w:p w14:paraId="5C3A90D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井巷工程</w:t>
                  </w:r>
                </w:p>
              </w:tc>
              <w:tc>
                <w:tcPr>
                  <w:tcW w:w="3881" w:type="pct"/>
                  <w:tcBorders>
                    <w:tl2br w:val="nil"/>
                    <w:tr2bl w:val="nil"/>
                  </w:tcBorders>
                  <w:vAlign w:val="center"/>
                </w:tcPr>
                <w:p w14:paraId="5BC9269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沿 16-3 煤层布置三条大巷，一水平(16-3煤)带式输送机大巷通过一水平 带式输送机斜巷与集中煤仓连接；一水平(16-3煤)辅助运输大巷与 340m 水平井底车场连接；一水平(16-3煤)回风大巷与风井连接。</w:t>
                  </w:r>
                </w:p>
              </w:tc>
            </w:tr>
            <w:tr w14:paraId="4462487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tcBorders>
                    <w:tl2br w:val="nil"/>
                    <w:tr2bl w:val="nil"/>
                  </w:tcBorders>
                  <w:vAlign w:val="center"/>
                </w:tcPr>
                <w:p w14:paraId="69F8C2A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辅助 工程</w:t>
                  </w:r>
                </w:p>
              </w:tc>
              <w:tc>
                <w:tcPr>
                  <w:tcW w:w="793" w:type="pct"/>
                  <w:gridSpan w:val="2"/>
                  <w:tcBorders>
                    <w:tl2br w:val="nil"/>
                    <w:tr2bl w:val="nil"/>
                  </w:tcBorders>
                  <w:vAlign w:val="center"/>
                </w:tcPr>
                <w:p w14:paraId="77737D4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矿井辅助工程</w:t>
                  </w:r>
                </w:p>
              </w:tc>
              <w:tc>
                <w:tcPr>
                  <w:tcW w:w="3881" w:type="pct"/>
                  <w:tcBorders>
                    <w:tl2br w:val="nil"/>
                    <w:tr2bl w:val="nil"/>
                  </w:tcBorders>
                  <w:vAlign w:val="center"/>
                </w:tcPr>
                <w:p w14:paraId="7D2B26A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矿井修理车间、综采设备库、消防材料库、器材库、材料棚、日用消防 水池、日用消防泵房等。伊敏河东矿区第一煤矿一期配套各单项工程已单独作可行性设计报告。</w:t>
                  </w:r>
                </w:p>
              </w:tc>
            </w:tr>
            <w:tr w14:paraId="7AF1017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restart"/>
                  <w:tcBorders>
                    <w:tl2br w:val="nil"/>
                    <w:tr2bl w:val="nil"/>
                  </w:tcBorders>
                  <w:vAlign w:val="center"/>
                </w:tcPr>
                <w:p w14:paraId="4A319CF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公用 工程</w:t>
                  </w:r>
                </w:p>
              </w:tc>
              <w:tc>
                <w:tcPr>
                  <w:tcW w:w="793" w:type="pct"/>
                  <w:gridSpan w:val="2"/>
                  <w:tcBorders>
                    <w:tl2br w:val="nil"/>
                    <w:tr2bl w:val="nil"/>
                  </w:tcBorders>
                  <w:vAlign w:val="center"/>
                </w:tcPr>
                <w:p w14:paraId="4BC050E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供热工程</w:t>
                  </w:r>
                </w:p>
              </w:tc>
              <w:tc>
                <w:tcPr>
                  <w:tcW w:w="3881" w:type="pct"/>
                  <w:tcBorders>
                    <w:tl2br w:val="nil"/>
                    <w:tr2bl w:val="nil"/>
                  </w:tcBorders>
                  <w:vAlign w:val="center"/>
                </w:tcPr>
                <w:p w14:paraId="536D020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供热热源取自鄂温克发电厂的余热，鄂温克发电厂矿区距矿井工业场地距离为5.5km，符合供热输送距离的要求。在鄂温克发电厂汽机车间处建 设一座换网首站热站，由电厂供应 0.5-0.6Mpa 蒸汽经热网交换器交换成130-90℃高温水，经供热管道送往矿区中心区和一、二矿矿井工业场地。本次设计不包括电厂换热站，电厂换热站作为单项设计另出。</w:t>
                  </w:r>
                </w:p>
              </w:tc>
            </w:tr>
            <w:tr w14:paraId="2436447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2890F3C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1489B7F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供电</w:t>
                  </w:r>
                </w:p>
              </w:tc>
              <w:tc>
                <w:tcPr>
                  <w:tcW w:w="3881" w:type="pct"/>
                  <w:tcBorders>
                    <w:tl2br w:val="nil"/>
                    <w:tr2bl w:val="nil"/>
                  </w:tcBorders>
                  <w:vAlign w:val="center"/>
                </w:tcPr>
                <w:p w14:paraId="74C5D45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主要取自鄂温克发电厂110kV出线间隔和伊敏一次变电所，向矿区供电的电压等级为110kV。在矿井工业场地内设110kV/10kV矿井变电所一座，所内安装二台主变压器，型号为SFZ10-20000/110，110/10kV 20000kVA，布置在室外；110kV和10kV开关设备均设置在室内。110 kV高压配电室和10kV高压配电室均为单层楼建筑，并且将主控制室、电容器室、检修室等也设置在内。</w:t>
                  </w:r>
                </w:p>
              </w:tc>
            </w:tr>
            <w:tr w14:paraId="01930AA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7BCBC75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6930CF2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供水工程</w:t>
                  </w:r>
                </w:p>
              </w:tc>
              <w:tc>
                <w:tcPr>
                  <w:tcW w:w="3881" w:type="pct"/>
                  <w:tcBorders>
                    <w:tl2br w:val="nil"/>
                    <w:tr2bl w:val="nil"/>
                  </w:tcBorders>
                  <w:vAlign w:val="center"/>
                </w:tcPr>
                <w:p w14:paraId="4B3A902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矿井总用水量1084m</w:t>
                  </w:r>
                  <w:r>
                    <w:rPr>
                      <w:rFonts w:hint="eastAsia" w:ascii="Times New Roman" w:hAnsi="Times New Roman" w:eastAsia="宋体" w:cs="Times New Roman"/>
                      <w:color w:val="auto"/>
                      <w:kern w:val="2"/>
                      <w:sz w:val="21"/>
                      <w:szCs w:val="21"/>
                      <w:vertAlign w:val="superscript"/>
                      <w:lang w:val="en-US" w:eastAsia="zh-CN"/>
                    </w:rPr>
                    <w:t>3</w:t>
                  </w:r>
                  <w:r>
                    <w:rPr>
                      <w:rFonts w:hint="eastAsia" w:ascii="Times New Roman" w:hAnsi="Times New Roman" w:eastAsia="宋体" w:cs="Times New Roman"/>
                      <w:color w:val="auto"/>
                      <w:kern w:val="2"/>
                      <w:sz w:val="21"/>
                      <w:szCs w:val="21"/>
                      <w:lang w:val="en-US" w:eastAsia="zh-CN"/>
                    </w:rPr>
                    <w:t>/d ，取第四系地下水经除铁消毒处理后作为工业场地一般生产生活用水，矿井水经强化一级处理后回用于井下消防洒水、 井下消火灌浆，余量用于鄂温克发电厂。</w:t>
                  </w:r>
                </w:p>
              </w:tc>
            </w:tr>
            <w:tr w14:paraId="63D609E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4BF2AE0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2ABADB2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排水工程</w:t>
                  </w:r>
                </w:p>
              </w:tc>
              <w:tc>
                <w:tcPr>
                  <w:tcW w:w="3881" w:type="pct"/>
                  <w:tcBorders>
                    <w:tl2br w:val="nil"/>
                    <w:tr2bl w:val="nil"/>
                  </w:tcBorders>
                  <w:vAlign w:val="center"/>
                </w:tcPr>
                <w:p w14:paraId="5899D46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一般生产、生活污水及公共设施区污水由工业场地排水管网收集后送至一体化处理设备进行二级处理，可复用于井下消火灌浆用水。井下排水经井下水提升泵房送至拟建于矿区生产辅助区的井下水处理厂统一处理，采用湍流絮凝接触沉淀工艺，处理后复用于电厂循环冷却用水</w:t>
                  </w:r>
                  <w:r>
                    <w:rPr>
                      <w:rFonts w:hint="eastAsia" w:cs="Times New Roman"/>
                      <w:color w:val="auto"/>
                      <w:kern w:val="2"/>
                      <w:sz w:val="21"/>
                      <w:szCs w:val="21"/>
                      <w:lang w:val="en-US" w:eastAsia="zh-CN"/>
                    </w:rPr>
                    <w:t>。</w:t>
                  </w:r>
                </w:p>
              </w:tc>
            </w:tr>
            <w:tr w14:paraId="4309720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5D17A57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52B90EB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行政福利设施</w:t>
                  </w:r>
                </w:p>
              </w:tc>
              <w:tc>
                <w:tcPr>
                  <w:tcW w:w="3881" w:type="pct"/>
                  <w:tcBorders>
                    <w:tl2br w:val="nil"/>
                    <w:tr2bl w:val="nil"/>
                  </w:tcBorders>
                  <w:vAlign w:val="center"/>
                </w:tcPr>
                <w:p w14:paraId="0B3092D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行政及公共建筑包括行政办公与任务交待室联合建筑；食堂、灯房、浴室、更衣室联合建筑；汽车库；门卫室以及副井井棚至灯房浴室人行走 廊共5项。</w:t>
                  </w:r>
                </w:p>
              </w:tc>
            </w:tr>
            <w:tr w14:paraId="6C27F39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tcBorders>
                    <w:tl2br w:val="nil"/>
                    <w:tr2bl w:val="nil"/>
                  </w:tcBorders>
                  <w:vAlign w:val="center"/>
                </w:tcPr>
                <w:p w14:paraId="7B17C1C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运输 工程</w:t>
                  </w:r>
                </w:p>
              </w:tc>
              <w:tc>
                <w:tcPr>
                  <w:tcW w:w="793" w:type="pct"/>
                  <w:gridSpan w:val="2"/>
                  <w:tcBorders>
                    <w:tl2br w:val="nil"/>
                    <w:tr2bl w:val="nil"/>
                  </w:tcBorders>
                  <w:vAlign w:val="center"/>
                </w:tcPr>
                <w:p w14:paraId="071D571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场外公路</w:t>
                  </w:r>
                </w:p>
              </w:tc>
              <w:tc>
                <w:tcPr>
                  <w:tcW w:w="3881" w:type="pct"/>
                  <w:tcBorders>
                    <w:tl2br w:val="nil"/>
                    <w:tr2bl w:val="nil"/>
                  </w:tcBorders>
                  <w:vAlign w:val="center"/>
                </w:tcPr>
                <w:p w14:paraId="37B2993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矿区道路自伊敏河西侧与海伊公路相接，向东跨伊敏河沿井田边界折向 东北再向东经矿区辅助附属企业及发电厂折向北到达第一煤矿工业场地，海伊公路—发电厂公路长度为12.85km，第一煤矿外部道路长 5.65km。</w:t>
                  </w:r>
                </w:p>
              </w:tc>
            </w:tr>
            <w:tr w14:paraId="3974641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restart"/>
                  <w:tcBorders>
                    <w:tl2br w:val="nil"/>
                    <w:tr2bl w:val="nil"/>
                  </w:tcBorders>
                  <w:vAlign w:val="center"/>
                </w:tcPr>
                <w:p w14:paraId="14A85B1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03F25D0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48CA88E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1854731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21B8BBD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1D8A22D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6D16A3F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p w14:paraId="36457D1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配套 工程</w:t>
                  </w:r>
                </w:p>
              </w:tc>
              <w:tc>
                <w:tcPr>
                  <w:tcW w:w="793" w:type="pct"/>
                  <w:gridSpan w:val="2"/>
                  <w:tcBorders>
                    <w:tl2br w:val="nil"/>
                    <w:tr2bl w:val="nil"/>
                  </w:tcBorders>
                  <w:vAlign w:val="center"/>
                </w:tcPr>
                <w:p w14:paraId="0B5A68B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输煤栈桥</w:t>
                  </w:r>
                </w:p>
              </w:tc>
              <w:tc>
                <w:tcPr>
                  <w:tcW w:w="3881" w:type="pct"/>
                  <w:tcBorders>
                    <w:tl2br w:val="nil"/>
                    <w:tr2bl w:val="nil"/>
                  </w:tcBorders>
                  <w:vAlign w:val="center"/>
                </w:tcPr>
                <w:p w14:paraId="32392F4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输煤栈桥合计5.7km，由工业场地至电厂或矿区储煤场。</w:t>
                  </w:r>
                </w:p>
              </w:tc>
            </w:tr>
            <w:tr w14:paraId="4E122EE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64B893C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6DC6BE2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矿区储煤场</w:t>
                  </w:r>
                </w:p>
              </w:tc>
              <w:tc>
                <w:tcPr>
                  <w:tcW w:w="3881" w:type="pct"/>
                  <w:tcBorders>
                    <w:tl2br w:val="nil"/>
                    <w:tr2bl w:val="nil"/>
                  </w:tcBorders>
                  <w:vAlign w:val="center"/>
                </w:tcPr>
                <w:p w14:paraId="4FC04E6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工业场地原煤及产品煤均采用槽仓储存，不建设储煤场。矿区在电厂北厂界外约200m处建设全封闭式圆形储煤场占地2.00hm</w:t>
                  </w:r>
                  <w:r>
                    <w:rPr>
                      <w:rFonts w:hint="eastAsia" w:ascii="Times New Roman" w:hAnsi="Times New Roman" w:eastAsia="宋体" w:cs="Times New Roman"/>
                      <w:color w:val="auto"/>
                      <w:kern w:val="2"/>
                      <w:sz w:val="21"/>
                      <w:szCs w:val="21"/>
                      <w:vertAlign w:val="superscript"/>
                      <w:lang w:val="en-US" w:eastAsia="zh-CN"/>
                    </w:rPr>
                    <w:t>2</w:t>
                  </w:r>
                  <w:r>
                    <w:rPr>
                      <w:rFonts w:hint="eastAsia" w:ascii="Times New Roman" w:hAnsi="Times New Roman" w:eastAsia="宋体" w:cs="Times New Roman"/>
                      <w:color w:val="auto"/>
                      <w:kern w:val="2"/>
                      <w:sz w:val="21"/>
                      <w:szCs w:val="21"/>
                      <w:lang w:val="en-US" w:eastAsia="zh-CN"/>
                    </w:rPr>
                    <w:t>，储煤能力为 10万吨。</w:t>
                  </w:r>
                </w:p>
              </w:tc>
            </w:tr>
            <w:tr w14:paraId="1A0BB1D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6285C03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4FBA364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矿井水处理站</w:t>
                  </w:r>
                </w:p>
              </w:tc>
              <w:tc>
                <w:tcPr>
                  <w:tcW w:w="3881" w:type="pct"/>
                  <w:tcBorders>
                    <w:tl2br w:val="nil"/>
                    <w:tr2bl w:val="nil"/>
                  </w:tcBorders>
                  <w:vAlign w:val="center"/>
                </w:tcPr>
                <w:p w14:paraId="3BF124A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矿井水处理厂位于电厂西厂界外约300m处，采取的工艺为絮凝沉淀工 艺。矿井工业场地内仅设矿井水储水池，进行简单的沉淀处理。</w:t>
                  </w:r>
                </w:p>
              </w:tc>
            </w:tr>
            <w:tr w14:paraId="5B1CC34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25" w:type="pct"/>
                  <w:vMerge w:val="continue"/>
                  <w:tcBorders>
                    <w:tl2br w:val="nil"/>
                    <w:tr2bl w:val="nil"/>
                  </w:tcBorders>
                  <w:vAlign w:val="center"/>
                </w:tcPr>
                <w:p w14:paraId="058F6F4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p>
              </w:tc>
              <w:tc>
                <w:tcPr>
                  <w:tcW w:w="793" w:type="pct"/>
                  <w:gridSpan w:val="2"/>
                  <w:tcBorders>
                    <w:tl2br w:val="nil"/>
                    <w:tr2bl w:val="nil"/>
                  </w:tcBorders>
                  <w:vAlign w:val="center"/>
                </w:tcPr>
                <w:p w14:paraId="0B9381D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备注</w:t>
                  </w:r>
                </w:p>
              </w:tc>
              <w:tc>
                <w:tcPr>
                  <w:tcW w:w="3881" w:type="pct"/>
                  <w:tcBorders>
                    <w:tl2br w:val="nil"/>
                    <w:tr2bl w:val="nil"/>
                  </w:tcBorders>
                  <w:vAlign w:val="center"/>
                </w:tcPr>
                <w:p w14:paraId="292956B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根据《内蒙古蒙东能源有限公司伊敏河东矿区一期配套工程可行性研究报告》，输煤栈桥、储煤场及矿井水处理站为河东矿区配套工程；其投 资不在《内蒙古蒙东能源有限公司伊敏河东矿区第一煤矿可行性研究报告》估算之内，亦不在本工程的建设范围之内。各项配套工程与本项目同步建设。</w:t>
                  </w:r>
                </w:p>
              </w:tc>
            </w:tr>
          </w:tbl>
          <w:p w14:paraId="55201B8E">
            <w:pPr>
              <w:spacing w:line="360" w:lineRule="auto"/>
              <w:ind w:firstLine="480" w:firstLineChars="200"/>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2、产品方案</w:t>
            </w:r>
          </w:p>
          <w:p w14:paraId="0F99A555">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cs="Times New Roman"/>
                <w:color w:val="auto"/>
                <w:sz w:val="24"/>
                <w:szCs w:val="32"/>
                <w:lang w:val="en-US" w:eastAsia="zh-CN"/>
              </w:rPr>
              <w:t>开采煤量</w:t>
            </w:r>
            <w:r>
              <w:rPr>
                <w:rFonts w:hint="eastAsia" w:eastAsia="宋体" w:cs="Times New Roman"/>
                <w:color w:val="auto"/>
                <w:spacing w:val="-1"/>
                <w:sz w:val="24"/>
                <w:szCs w:val="24"/>
                <w:lang w:val="en-US" w:eastAsia="zh-CN"/>
              </w:rPr>
              <w:t>5</w:t>
            </w:r>
            <w:r>
              <w:rPr>
                <w:rFonts w:ascii="Times New Roman" w:hAnsi="Times New Roman" w:eastAsia="Times New Roman" w:cs="Times New Roman"/>
                <w:color w:val="auto"/>
                <w:spacing w:val="-1"/>
                <w:sz w:val="24"/>
                <w:szCs w:val="24"/>
              </w:rPr>
              <w:t>.0Mt/a</w:t>
            </w:r>
            <w:r>
              <w:rPr>
                <w:rFonts w:hint="eastAsia" w:ascii="Times New Roman" w:hAnsi="Times New Roman" w:eastAsia="宋体" w:cs="Times New Roman"/>
                <w:color w:val="auto"/>
                <w:spacing w:val="-1"/>
                <w:sz w:val="24"/>
                <w:szCs w:val="24"/>
                <w:lang w:eastAsia="zh-CN"/>
              </w:rPr>
              <w:t>。</w:t>
            </w:r>
          </w:p>
          <w:p w14:paraId="7FC629CB">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color w:val="auto"/>
                <w:sz w:val="24"/>
                <w:lang w:val="en-US" w:eastAsia="zh-CN"/>
              </w:rPr>
              <w:t>3、现有工程主要经济技术指标</w:t>
            </w:r>
          </w:p>
          <w:p w14:paraId="757733EE">
            <w:pPr>
              <w:pStyle w:val="34"/>
              <w:spacing w:line="360" w:lineRule="auto"/>
              <w:rPr>
                <w:rFonts w:hint="default" w:eastAsia="宋体"/>
                <w:color w:val="auto"/>
                <w:sz w:val="21"/>
                <w:szCs w:val="21"/>
                <w:lang w:val="en-US" w:eastAsia="zh-CN"/>
              </w:rPr>
            </w:pPr>
            <w:r>
              <w:rPr>
                <w:rFonts w:hint="eastAsia" w:eastAsia="宋体"/>
                <w:color w:val="auto"/>
                <w:sz w:val="21"/>
                <w:szCs w:val="21"/>
              </w:rPr>
              <w:t>表</w:t>
            </w:r>
            <w:r>
              <w:rPr>
                <w:rFonts w:hint="eastAsia" w:eastAsia="宋体"/>
                <w:color w:val="auto"/>
                <w:sz w:val="21"/>
                <w:szCs w:val="21"/>
                <w:lang w:val="en-US" w:eastAsia="zh-CN"/>
              </w:rPr>
              <w:t>3-</w:t>
            </w:r>
            <w:r>
              <w:rPr>
                <w:rFonts w:hint="eastAsia"/>
                <w:color w:val="auto"/>
                <w:sz w:val="21"/>
                <w:szCs w:val="21"/>
                <w:lang w:val="en-US" w:eastAsia="zh-CN"/>
              </w:rPr>
              <w:t>10</w:t>
            </w:r>
            <w:r>
              <w:rPr>
                <w:rFonts w:hint="eastAsia" w:eastAsia="宋体"/>
                <w:color w:val="auto"/>
                <w:sz w:val="21"/>
                <w:szCs w:val="21"/>
                <w:lang w:val="en-US" w:eastAsia="zh-CN"/>
              </w:rPr>
              <w:t xml:space="preserve">    现有工程主要经济技术指标</w:t>
            </w:r>
          </w:p>
          <w:tbl>
            <w:tblPr>
              <w:tblStyle w:val="54"/>
              <w:tblW w:w="8258"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960"/>
              <w:gridCol w:w="2541"/>
              <w:gridCol w:w="887"/>
              <w:gridCol w:w="3870"/>
            </w:tblGrid>
            <w:tr w14:paraId="7BC83B6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2C3B675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序号</w:t>
                  </w:r>
                </w:p>
              </w:tc>
              <w:tc>
                <w:tcPr>
                  <w:tcW w:w="2541" w:type="dxa"/>
                  <w:tcBorders>
                    <w:tl2br w:val="nil"/>
                    <w:tr2bl w:val="nil"/>
                  </w:tcBorders>
                  <w:vAlign w:val="center"/>
                </w:tcPr>
                <w:p w14:paraId="1D80642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项        目</w:t>
                  </w:r>
                </w:p>
              </w:tc>
              <w:tc>
                <w:tcPr>
                  <w:tcW w:w="887" w:type="dxa"/>
                  <w:tcBorders>
                    <w:tl2br w:val="nil"/>
                    <w:tr2bl w:val="nil"/>
                  </w:tcBorders>
                  <w:vAlign w:val="center"/>
                </w:tcPr>
                <w:p w14:paraId="1755720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单位</w:t>
                  </w:r>
                </w:p>
              </w:tc>
              <w:tc>
                <w:tcPr>
                  <w:tcW w:w="3870" w:type="dxa"/>
                  <w:tcBorders>
                    <w:tl2br w:val="nil"/>
                    <w:tr2bl w:val="nil"/>
                  </w:tcBorders>
                  <w:vAlign w:val="center"/>
                </w:tcPr>
                <w:p w14:paraId="004BB91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指       标</w:t>
                  </w:r>
                </w:p>
              </w:tc>
            </w:tr>
            <w:tr w14:paraId="77861CA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2A07D89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2541" w:type="dxa"/>
                  <w:tcBorders>
                    <w:tl2br w:val="nil"/>
                    <w:tr2bl w:val="nil"/>
                  </w:tcBorders>
                  <w:vAlign w:val="center"/>
                </w:tcPr>
                <w:p w14:paraId="686F079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日用水量</w:t>
                  </w:r>
                </w:p>
              </w:tc>
              <w:tc>
                <w:tcPr>
                  <w:tcW w:w="887" w:type="dxa"/>
                  <w:tcBorders>
                    <w:tl2br w:val="nil"/>
                    <w:tr2bl w:val="nil"/>
                  </w:tcBorders>
                  <w:vAlign w:val="center"/>
                </w:tcPr>
                <w:p w14:paraId="4DAEA78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m</w:t>
                  </w:r>
                  <w:r>
                    <w:rPr>
                      <w:rFonts w:hint="default" w:ascii="Times New Roman" w:hAnsi="Times New Roman" w:eastAsia="宋体" w:cs="Times New Roman"/>
                      <w:color w:val="auto"/>
                      <w:kern w:val="2"/>
                      <w:sz w:val="21"/>
                      <w:szCs w:val="21"/>
                      <w:vertAlign w:val="superscript"/>
                      <w:lang w:val="en-US" w:eastAsia="zh-CN"/>
                    </w:rPr>
                    <w:t>3</w:t>
                  </w:r>
                  <w:r>
                    <w:rPr>
                      <w:rFonts w:hint="default" w:ascii="Times New Roman" w:hAnsi="Times New Roman" w:eastAsia="宋体" w:cs="Times New Roman"/>
                      <w:color w:val="auto"/>
                      <w:kern w:val="2"/>
                      <w:sz w:val="21"/>
                      <w:szCs w:val="21"/>
                      <w:lang w:val="en-US" w:eastAsia="zh-CN"/>
                    </w:rPr>
                    <w:t>/d</w:t>
                  </w:r>
                </w:p>
              </w:tc>
              <w:tc>
                <w:tcPr>
                  <w:tcW w:w="3870" w:type="dxa"/>
                  <w:tcBorders>
                    <w:tl2br w:val="nil"/>
                    <w:tr2bl w:val="nil"/>
                  </w:tcBorders>
                  <w:vAlign w:val="center"/>
                </w:tcPr>
                <w:p w14:paraId="26D7C75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2654</w:t>
                  </w:r>
                </w:p>
              </w:tc>
            </w:tr>
            <w:tr w14:paraId="50585FE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74BC467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459DC88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二十六、场外公路长度</w:t>
                  </w:r>
                </w:p>
              </w:tc>
              <w:tc>
                <w:tcPr>
                  <w:tcW w:w="887" w:type="dxa"/>
                  <w:tcBorders>
                    <w:tl2br w:val="nil"/>
                    <w:tr2bl w:val="nil"/>
                  </w:tcBorders>
                  <w:vAlign w:val="center"/>
                </w:tcPr>
                <w:p w14:paraId="34C0870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km</w:t>
                  </w:r>
                </w:p>
              </w:tc>
              <w:tc>
                <w:tcPr>
                  <w:tcW w:w="3870" w:type="dxa"/>
                  <w:tcBorders>
                    <w:tl2br w:val="nil"/>
                    <w:tr2bl w:val="nil"/>
                  </w:tcBorders>
                  <w:vAlign w:val="center"/>
                </w:tcPr>
                <w:p w14:paraId="5800ACF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5.65</w:t>
                  </w:r>
                </w:p>
              </w:tc>
            </w:tr>
            <w:tr w14:paraId="5A8EB5C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7555F19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3B225D6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二十七、矿井总占地面积</w:t>
                  </w:r>
                </w:p>
              </w:tc>
              <w:tc>
                <w:tcPr>
                  <w:tcW w:w="887" w:type="dxa"/>
                  <w:tcBorders>
                    <w:tl2br w:val="nil"/>
                    <w:tr2bl w:val="nil"/>
                  </w:tcBorders>
                  <w:vAlign w:val="center"/>
                </w:tcPr>
                <w:p w14:paraId="77C6FF5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hm</w:t>
                  </w:r>
                  <w:r>
                    <w:rPr>
                      <w:rFonts w:hint="default" w:ascii="Times New Roman" w:hAnsi="Times New Roman" w:eastAsia="宋体" w:cs="Times New Roman"/>
                      <w:color w:val="auto"/>
                      <w:kern w:val="2"/>
                      <w:sz w:val="21"/>
                      <w:szCs w:val="21"/>
                      <w:vertAlign w:val="superscript"/>
                      <w:lang w:val="en-US" w:eastAsia="zh-CN"/>
                    </w:rPr>
                    <w:t>2</w:t>
                  </w:r>
                </w:p>
              </w:tc>
              <w:tc>
                <w:tcPr>
                  <w:tcW w:w="3870" w:type="dxa"/>
                  <w:tcBorders>
                    <w:tl2br w:val="nil"/>
                    <w:tr2bl w:val="nil"/>
                  </w:tcBorders>
                  <w:vAlign w:val="center"/>
                </w:tcPr>
                <w:p w14:paraId="3DB726E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23.21</w:t>
                  </w:r>
                </w:p>
              </w:tc>
            </w:tr>
            <w:tr w14:paraId="718E7A0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405808C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2541" w:type="dxa"/>
                  <w:tcBorders>
                    <w:tl2br w:val="nil"/>
                    <w:tr2bl w:val="nil"/>
                  </w:tcBorders>
                  <w:vAlign w:val="center"/>
                </w:tcPr>
                <w:p w14:paraId="55608D3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其中：工业场地</w:t>
                  </w:r>
                </w:p>
              </w:tc>
              <w:tc>
                <w:tcPr>
                  <w:tcW w:w="887" w:type="dxa"/>
                  <w:tcBorders>
                    <w:tl2br w:val="nil"/>
                    <w:tr2bl w:val="nil"/>
                  </w:tcBorders>
                  <w:vAlign w:val="center"/>
                </w:tcPr>
                <w:p w14:paraId="4B7C3E5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hm</w:t>
                  </w:r>
                  <w:r>
                    <w:rPr>
                      <w:rFonts w:hint="default" w:ascii="Times New Roman" w:hAnsi="Times New Roman" w:eastAsia="宋体" w:cs="Times New Roman"/>
                      <w:color w:val="auto"/>
                      <w:kern w:val="2"/>
                      <w:sz w:val="21"/>
                      <w:szCs w:val="21"/>
                      <w:vertAlign w:val="superscript"/>
                      <w:lang w:val="en-US" w:eastAsia="zh-CN"/>
                    </w:rPr>
                    <w:t>2</w:t>
                  </w:r>
                </w:p>
              </w:tc>
              <w:tc>
                <w:tcPr>
                  <w:tcW w:w="3870" w:type="dxa"/>
                  <w:tcBorders>
                    <w:tl2br w:val="nil"/>
                    <w:tr2bl w:val="nil"/>
                  </w:tcBorders>
                  <w:vAlign w:val="center"/>
                </w:tcPr>
                <w:p w14:paraId="77E4132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8.40</w:t>
                  </w:r>
                </w:p>
              </w:tc>
            </w:tr>
            <w:tr w14:paraId="3481A4F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4F2CF38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w:t>
                  </w:r>
                </w:p>
              </w:tc>
              <w:tc>
                <w:tcPr>
                  <w:tcW w:w="2541" w:type="dxa"/>
                  <w:tcBorders>
                    <w:tl2br w:val="nil"/>
                    <w:tr2bl w:val="nil"/>
                  </w:tcBorders>
                  <w:vAlign w:val="center"/>
                </w:tcPr>
                <w:p w14:paraId="5B847CD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公路</w:t>
                  </w:r>
                </w:p>
              </w:tc>
              <w:tc>
                <w:tcPr>
                  <w:tcW w:w="887" w:type="dxa"/>
                  <w:tcBorders>
                    <w:tl2br w:val="nil"/>
                    <w:tr2bl w:val="nil"/>
                  </w:tcBorders>
                  <w:vAlign w:val="center"/>
                </w:tcPr>
                <w:p w14:paraId="5A6A004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hm</w:t>
                  </w:r>
                  <w:r>
                    <w:rPr>
                      <w:rFonts w:hint="default" w:ascii="Times New Roman" w:hAnsi="Times New Roman" w:eastAsia="宋体" w:cs="Times New Roman"/>
                      <w:color w:val="auto"/>
                      <w:kern w:val="2"/>
                      <w:sz w:val="21"/>
                      <w:szCs w:val="21"/>
                      <w:vertAlign w:val="superscript"/>
                      <w:lang w:val="en-US" w:eastAsia="zh-CN"/>
                    </w:rPr>
                    <w:t>2</w:t>
                  </w:r>
                </w:p>
              </w:tc>
              <w:tc>
                <w:tcPr>
                  <w:tcW w:w="3870" w:type="dxa"/>
                  <w:tcBorders>
                    <w:tl2br w:val="nil"/>
                    <w:tr2bl w:val="nil"/>
                  </w:tcBorders>
                  <w:vAlign w:val="center"/>
                </w:tcPr>
                <w:p w14:paraId="288643F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13.0</w:t>
                  </w:r>
                </w:p>
              </w:tc>
            </w:tr>
            <w:tr w14:paraId="1F96185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1FCC8BF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1724D63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二十八、职工在籍总人数</w:t>
                  </w:r>
                </w:p>
              </w:tc>
              <w:tc>
                <w:tcPr>
                  <w:tcW w:w="887" w:type="dxa"/>
                  <w:tcBorders>
                    <w:tl2br w:val="nil"/>
                    <w:tr2bl w:val="nil"/>
                  </w:tcBorders>
                  <w:vAlign w:val="center"/>
                </w:tcPr>
                <w:p w14:paraId="75BD245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人</w:t>
                  </w:r>
                </w:p>
              </w:tc>
              <w:tc>
                <w:tcPr>
                  <w:tcW w:w="3870" w:type="dxa"/>
                  <w:tcBorders>
                    <w:tl2br w:val="nil"/>
                    <w:tr2bl w:val="nil"/>
                  </w:tcBorders>
                  <w:vAlign w:val="center"/>
                </w:tcPr>
                <w:p w14:paraId="118CFC8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r>
            <w:tr w14:paraId="17F5E34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7F4F2CB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2541" w:type="dxa"/>
                  <w:tcBorders>
                    <w:tl2br w:val="nil"/>
                    <w:tr2bl w:val="nil"/>
                  </w:tcBorders>
                  <w:vAlign w:val="center"/>
                </w:tcPr>
                <w:p w14:paraId="5CDC737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矿井</w:t>
                  </w:r>
                </w:p>
              </w:tc>
              <w:tc>
                <w:tcPr>
                  <w:tcW w:w="887" w:type="dxa"/>
                  <w:tcBorders>
                    <w:tl2br w:val="nil"/>
                    <w:tr2bl w:val="nil"/>
                  </w:tcBorders>
                  <w:vAlign w:val="center"/>
                </w:tcPr>
                <w:p w14:paraId="3944893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人</w:t>
                  </w:r>
                </w:p>
              </w:tc>
              <w:tc>
                <w:tcPr>
                  <w:tcW w:w="3870" w:type="dxa"/>
                  <w:tcBorders>
                    <w:tl2br w:val="nil"/>
                    <w:tr2bl w:val="nil"/>
                  </w:tcBorders>
                  <w:vAlign w:val="center"/>
                </w:tcPr>
                <w:p w14:paraId="653029D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360</w:t>
                  </w:r>
                </w:p>
              </w:tc>
            </w:tr>
            <w:tr w14:paraId="6FCCA15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26ADD9F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w:t>
                  </w:r>
                </w:p>
              </w:tc>
              <w:tc>
                <w:tcPr>
                  <w:tcW w:w="2541" w:type="dxa"/>
                  <w:tcBorders>
                    <w:tl2br w:val="nil"/>
                    <w:tr2bl w:val="nil"/>
                  </w:tcBorders>
                  <w:vAlign w:val="center"/>
                </w:tcPr>
                <w:p w14:paraId="4916C98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其中：生产工人</w:t>
                  </w:r>
                </w:p>
              </w:tc>
              <w:tc>
                <w:tcPr>
                  <w:tcW w:w="887" w:type="dxa"/>
                  <w:tcBorders>
                    <w:tl2br w:val="nil"/>
                    <w:tr2bl w:val="nil"/>
                  </w:tcBorders>
                  <w:vAlign w:val="center"/>
                </w:tcPr>
                <w:p w14:paraId="497B960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人</w:t>
                  </w:r>
                </w:p>
              </w:tc>
              <w:tc>
                <w:tcPr>
                  <w:tcW w:w="3870" w:type="dxa"/>
                  <w:tcBorders>
                    <w:tl2br w:val="nil"/>
                    <w:tr2bl w:val="nil"/>
                  </w:tcBorders>
                  <w:vAlign w:val="center"/>
                </w:tcPr>
                <w:p w14:paraId="462D1F3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339</w:t>
                  </w:r>
                </w:p>
              </w:tc>
            </w:tr>
            <w:tr w14:paraId="7107FC5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32DAAA9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261163B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二十九、劳动生产率</w:t>
                  </w:r>
                </w:p>
              </w:tc>
              <w:tc>
                <w:tcPr>
                  <w:tcW w:w="887" w:type="dxa"/>
                  <w:tcBorders>
                    <w:tl2br w:val="nil"/>
                    <w:tr2bl w:val="nil"/>
                  </w:tcBorders>
                  <w:vAlign w:val="center"/>
                </w:tcPr>
                <w:p w14:paraId="4C206C9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870" w:type="dxa"/>
                  <w:tcBorders>
                    <w:tl2br w:val="nil"/>
                    <w:tr2bl w:val="nil"/>
                  </w:tcBorders>
                  <w:vAlign w:val="center"/>
                </w:tcPr>
                <w:p w14:paraId="415B8BB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r>
            <w:tr w14:paraId="6E9DFF3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00ADAFE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2541" w:type="dxa"/>
                  <w:tcBorders>
                    <w:tl2br w:val="nil"/>
                    <w:tr2bl w:val="nil"/>
                  </w:tcBorders>
                  <w:vAlign w:val="center"/>
                </w:tcPr>
                <w:p w14:paraId="210D547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生产工人效率（初期）</w:t>
                  </w:r>
                </w:p>
              </w:tc>
              <w:tc>
                <w:tcPr>
                  <w:tcW w:w="887" w:type="dxa"/>
                  <w:tcBorders>
                    <w:tl2br w:val="nil"/>
                    <w:tr2bl w:val="nil"/>
                  </w:tcBorders>
                  <w:vAlign w:val="center"/>
                </w:tcPr>
                <w:p w14:paraId="29DB895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t/工</w:t>
                  </w:r>
                </w:p>
              </w:tc>
              <w:tc>
                <w:tcPr>
                  <w:tcW w:w="3870" w:type="dxa"/>
                  <w:tcBorders>
                    <w:tl2br w:val="nil"/>
                    <w:tr2bl w:val="nil"/>
                  </w:tcBorders>
                  <w:vAlign w:val="center"/>
                </w:tcPr>
                <w:p w14:paraId="42B85CD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64.9</w:t>
                  </w:r>
                </w:p>
              </w:tc>
            </w:tr>
            <w:tr w14:paraId="2418C65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47C9A42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w:t>
                  </w:r>
                </w:p>
              </w:tc>
              <w:tc>
                <w:tcPr>
                  <w:tcW w:w="2541" w:type="dxa"/>
                  <w:tcBorders>
                    <w:tl2br w:val="nil"/>
                    <w:tr2bl w:val="nil"/>
                  </w:tcBorders>
                  <w:vAlign w:val="center"/>
                </w:tcPr>
                <w:p w14:paraId="2EA9E80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全员效率（初期）</w:t>
                  </w:r>
                </w:p>
              </w:tc>
              <w:tc>
                <w:tcPr>
                  <w:tcW w:w="887" w:type="dxa"/>
                  <w:tcBorders>
                    <w:tl2br w:val="nil"/>
                    <w:tr2bl w:val="nil"/>
                  </w:tcBorders>
                  <w:vAlign w:val="center"/>
                </w:tcPr>
                <w:p w14:paraId="6A32EAD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t/工</w:t>
                  </w:r>
                </w:p>
              </w:tc>
              <w:tc>
                <w:tcPr>
                  <w:tcW w:w="3870" w:type="dxa"/>
                  <w:tcBorders>
                    <w:tl2br w:val="nil"/>
                    <w:tr2bl w:val="nil"/>
                  </w:tcBorders>
                  <w:vAlign w:val="center"/>
                </w:tcPr>
                <w:p w14:paraId="21E9306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60</w:t>
                  </w:r>
                </w:p>
              </w:tc>
            </w:tr>
            <w:tr w14:paraId="6874AE3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0C19BA6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54F411E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三十、项目投资</w:t>
                  </w:r>
                </w:p>
              </w:tc>
              <w:tc>
                <w:tcPr>
                  <w:tcW w:w="887" w:type="dxa"/>
                  <w:tcBorders>
                    <w:tl2br w:val="nil"/>
                    <w:tr2bl w:val="nil"/>
                  </w:tcBorders>
                  <w:vAlign w:val="center"/>
                </w:tcPr>
                <w:p w14:paraId="4156693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870" w:type="dxa"/>
                  <w:tcBorders>
                    <w:tl2br w:val="nil"/>
                    <w:tr2bl w:val="nil"/>
                  </w:tcBorders>
                  <w:vAlign w:val="center"/>
                </w:tcPr>
                <w:p w14:paraId="6255395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r>
            <w:tr w14:paraId="7CFF1F2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74" w:hRule="atLeast"/>
                <w:jc w:val="center"/>
              </w:trPr>
              <w:tc>
                <w:tcPr>
                  <w:tcW w:w="960" w:type="dxa"/>
                  <w:tcBorders>
                    <w:tl2br w:val="nil"/>
                    <w:tr2bl w:val="nil"/>
                  </w:tcBorders>
                  <w:vAlign w:val="center"/>
                </w:tcPr>
                <w:p w14:paraId="71ADE76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2541" w:type="dxa"/>
                  <w:tcBorders>
                    <w:tl2br w:val="nil"/>
                    <w:tr2bl w:val="nil"/>
                  </w:tcBorders>
                  <w:vAlign w:val="center"/>
                </w:tcPr>
                <w:p w14:paraId="25B3CF9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矿井建设项目总资金</w:t>
                  </w:r>
                </w:p>
              </w:tc>
              <w:tc>
                <w:tcPr>
                  <w:tcW w:w="887" w:type="dxa"/>
                  <w:tcBorders>
                    <w:tl2br w:val="nil"/>
                    <w:tr2bl w:val="nil"/>
                  </w:tcBorders>
                  <w:vAlign w:val="center"/>
                </w:tcPr>
                <w:p w14:paraId="17FF0DA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870" w:type="dxa"/>
                  <w:tcBorders>
                    <w:tl2br w:val="nil"/>
                    <w:tr2bl w:val="nil"/>
                  </w:tcBorders>
                  <w:vAlign w:val="center"/>
                </w:tcPr>
                <w:p w14:paraId="10586AF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94931.95</w:t>
                  </w:r>
                </w:p>
              </w:tc>
            </w:tr>
            <w:tr w14:paraId="69E4E2E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045F15A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0FED113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其中：井巷工程</w:t>
                  </w:r>
                </w:p>
              </w:tc>
              <w:tc>
                <w:tcPr>
                  <w:tcW w:w="887" w:type="dxa"/>
                  <w:tcBorders>
                    <w:tl2br w:val="nil"/>
                    <w:tr2bl w:val="nil"/>
                  </w:tcBorders>
                  <w:vAlign w:val="center"/>
                </w:tcPr>
                <w:p w14:paraId="15C54BE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6965468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37680.77</w:t>
                  </w:r>
                </w:p>
              </w:tc>
            </w:tr>
            <w:tr w14:paraId="4AD86CD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098B29D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4E6B61E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地面建筑工程</w:t>
                  </w:r>
                </w:p>
              </w:tc>
              <w:tc>
                <w:tcPr>
                  <w:tcW w:w="887" w:type="dxa"/>
                  <w:tcBorders>
                    <w:tl2br w:val="nil"/>
                    <w:tr2bl w:val="nil"/>
                  </w:tcBorders>
                  <w:vAlign w:val="center"/>
                </w:tcPr>
                <w:p w14:paraId="2703001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4CC0D47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8601.98</w:t>
                  </w:r>
                </w:p>
              </w:tc>
            </w:tr>
            <w:tr w14:paraId="5D38EDB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38A05CF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41F855E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设备及工器具购置</w:t>
                  </w:r>
                </w:p>
              </w:tc>
              <w:tc>
                <w:tcPr>
                  <w:tcW w:w="887" w:type="dxa"/>
                  <w:tcBorders>
                    <w:tl2br w:val="nil"/>
                    <w:tr2bl w:val="nil"/>
                  </w:tcBorders>
                  <w:vAlign w:val="center"/>
                </w:tcPr>
                <w:p w14:paraId="116F518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0FD5577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17206.50</w:t>
                  </w:r>
                </w:p>
              </w:tc>
            </w:tr>
            <w:tr w14:paraId="2181E3A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5BD4FBC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4C4DA0A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安装工程</w:t>
                  </w:r>
                </w:p>
              </w:tc>
              <w:tc>
                <w:tcPr>
                  <w:tcW w:w="887" w:type="dxa"/>
                  <w:tcBorders>
                    <w:tl2br w:val="nil"/>
                    <w:tr2bl w:val="nil"/>
                  </w:tcBorders>
                  <w:vAlign w:val="center"/>
                </w:tcPr>
                <w:p w14:paraId="378CEF7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2C5E147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6945.72</w:t>
                  </w:r>
                </w:p>
              </w:tc>
            </w:tr>
            <w:tr w14:paraId="46872CE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4C3D3A4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6C87B4E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工程建设其他费用</w:t>
                  </w:r>
                </w:p>
              </w:tc>
              <w:tc>
                <w:tcPr>
                  <w:tcW w:w="887" w:type="dxa"/>
                  <w:tcBorders>
                    <w:tl2br w:val="nil"/>
                    <w:tr2bl w:val="nil"/>
                  </w:tcBorders>
                  <w:vAlign w:val="center"/>
                </w:tcPr>
                <w:p w14:paraId="7DF447F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5D22CA1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8556. 14</w:t>
                  </w:r>
                </w:p>
              </w:tc>
            </w:tr>
            <w:tr w14:paraId="3E9195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3FF7A1C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7B140C6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基本预备费</w:t>
                  </w:r>
                </w:p>
              </w:tc>
              <w:tc>
                <w:tcPr>
                  <w:tcW w:w="887" w:type="dxa"/>
                  <w:tcBorders>
                    <w:tl2br w:val="nil"/>
                    <w:tr2bl w:val="nil"/>
                  </w:tcBorders>
                  <w:vAlign w:val="center"/>
                </w:tcPr>
                <w:p w14:paraId="5C028D3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7183FF8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10268.84</w:t>
                  </w:r>
                </w:p>
              </w:tc>
            </w:tr>
            <w:tr w14:paraId="4645009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63FBA63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2BE0E20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建设期贷款利息</w:t>
                  </w:r>
                </w:p>
              </w:tc>
              <w:tc>
                <w:tcPr>
                  <w:tcW w:w="887" w:type="dxa"/>
                  <w:tcBorders>
                    <w:tl2br w:val="nil"/>
                    <w:tr2bl w:val="nil"/>
                  </w:tcBorders>
                  <w:vAlign w:val="center"/>
                </w:tcPr>
                <w:p w14:paraId="5A8ECC4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4A18BAE7">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4360.00</w:t>
                  </w:r>
                </w:p>
              </w:tc>
            </w:tr>
            <w:tr w14:paraId="577D3C4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77FDE840">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4898D1D3">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铺底流动资金</w:t>
                  </w:r>
                </w:p>
              </w:tc>
              <w:tc>
                <w:tcPr>
                  <w:tcW w:w="887" w:type="dxa"/>
                  <w:tcBorders>
                    <w:tl2br w:val="nil"/>
                    <w:tr2bl w:val="nil"/>
                  </w:tcBorders>
                  <w:vAlign w:val="center"/>
                </w:tcPr>
                <w:p w14:paraId="2B26F13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w:t>
                  </w:r>
                  <w:r>
                    <w:rPr>
                      <w:rFonts w:hint="default" w:ascii="Times New Roman" w:hAnsi="Times New Roman" w:eastAsia="宋体" w:cs="Times New Roman"/>
                      <w:color w:val="auto"/>
                      <w:kern w:val="2"/>
                      <w:sz w:val="21"/>
                      <w:szCs w:val="21"/>
                      <w:vertAlign w:val="superscript"/>
                      <w:lang w:val="en-US" w:eastAsia="zh-CN"/>
                    </w:rPr>
                    <w:t>4</w:t>
                  </w:r>
                  <w:r>
                    <w:rPr>
                      <w:rFonts w:hint="default" w:ascii="Times New Roman" w:hAnsi="Times New Roman" w:eastAsia="宋体" w:cs="Times New Roman"/>
                      <w:color w:val="auto"/>
                      <w:kern w:val="2"/>
                      <w:sz w:val="21"/>
                      <w:szCs w:val="21"/>
                      <w:lang w:val="en-US" w:eastAsia="zh-CN"/>
                    </w:rPr>
                    <w:t xml:space="preserve"> 元</w:t>
                  </w:r>
                </w:p>
              </w:tc>
              <w:tc>
                <w:tcPr>
                  <w:tcW w:w="3870" w:type="dxa"/>
                  <w:tcBorders>
                    <w:tl2br w:val="nil"/>
                    <w:tr2bl w:val="nil"/>
                  </w:tcBorders>
                  <w:vAlign w:val="center"/>
                </w:tcPr>
                <w:p w14:paraId="19981EC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1312.00</w:t>
                  </w:r>
                </w:p>
              </w:tc>
            </w:tr>
            <w:tr w14:paraId="4796D97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4B8917A6">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5FA089B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三十一、吨煤投资</w:t>
                  </w:r>
                </w:p>
              </w:tc>
              <w:tc>
                <w:tcPr>
                  <w:tcW w:w="887" w:type="dxa"/>
                  <w:tcBorders>
                    <w:tl2br w:val="nil"/>
                    <w:tr2bl w:val="nil"/>
                  </w:tcBorders>
                  <w:vAlign w:val="center"/>
                </w:tcPr>
                <w:p w14:paraId="5843208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元/t</w:t>
                  </w:r>
                </w:p>
              </w:tc>
              <w:tc>
                <w:tcPr>
                  <w:tcW w:w="3870" w:type="dxa"/>
                  <w:tcBorders>
                    <w:tl2br w:val="nil"/>
                    <w:tr2bl w:val="nil"/>
                  </w:tcBorders>
                  <w:vAlign w:val="center"/>
                </w:tcPr>
                <w:p w14:paraId="5F985AB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189.86</w:t>
                  </w:r>
                </w:p>
              </w:tc>
            </w:tr>
            <w:tr w14:paraId="4C3AC85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153B6BD2">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7D2EBED4">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三十二、原煤成本</w:t>
                  </w:r>
                </w:p>
              </w:tc>
              <w:tc>
                <w:tcPr>
                  <w:tcW w:w="887" w:type="dxa"/>
                  <w:tcBorders>
                    <w:tl2br w:val="nil"/>
                    <w:tr2bl w:val="nil"/>
                  </w:tcBorders>
                  <w:vAlign w:val="center"/>
                </w:tcPr>
                <w:p w14:paraId="6341561D">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3870" w:type="dxa"/>
                  <w:tcBorders>
                    <w:tl2br w:val="nil"/>
                    <w:tr2bl w:val="nil"/>
                  </w:tcBorders>
                  <w:vAlign w:val="center"/>
                </w:tcPr>
                <w:p w14:paraId="59195091">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r>
            <w:tr w14:paraId="6CD21C1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4DB1575C">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2541" w:type="dxa"/>
                  <w:tcBorders>
                    <w:tl2br w:val="nil"/>
                    <w:tr2bl w:val="nil"/>
                  </w:tcBorders>
                  <w:vAlign w:val="center"/>
                </w:tcPr>
                <w:p w14:paraId="69CFEC4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原煤生产成本（初期/后期）</w:t>
                  </w:r>
                </w:p>
              </w:tc>
              <w:tc>
                <w:tcPr>
                  <w:tcW w:w="887" w:type="dxa"/>
                  <w:tcBorders>
                    <w:tl2br w:val="nil"/>
                    <w:tr2bl w:val="nil"/>
                  </w:tcBorders>
                  <w:vAlign w:val="center"/>
                </w:tcPr>
                <w:p w14:paraId="7A2AD5A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元/t</w:t>
                  </w:r>
                </w:p>
              </w:tc>
              <w:tc>
                <w:tcPr>
                  <w:tcW w:w="3870" w:type="dxa"/>
                  <w:tcBorders>
                    <w:tl2br w:val="nil"/>
                    <w:tr2bl w:val="nil"/>
                  </w:tcBorders>
                  <w:vAlign w:val="center"/>
                </w:tcPr>
                <w:p w14:paraId="445645CA">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57.05/46.23</w:t>
                  </w:r>
                </w:p>
              </w:tc>
            </w:tr>
            <w:tr w14:paraId="6BD8B8E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2C418C4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w:t>
                  </w:r>
                </w:p>
              </w:tc>
              <w:tc>
                <w:tcPr>
                  <w:tcW w:w="2541" w:type="dxa"/>
                  <w:tcBorders>
                    <w:tl2br w:val="nil"/>
                    <w:tr2bl w:val="nil"/>
                  </w:tcBorders>
                  <w:vAlign w:val="center"/>
                </w:tcPr>
                <w:p w14:paraId="79442445">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原煤经营成本（初期/后期）</w:t>
                  </w:r>
                </w:p>
              </w:tc>
              <w:tc>
                <w:tcPr>
                  <w:tcW w:w="887" w:type="dxa"/>
                  <w:tcBorders>
                    <w:tl2br w:val="nil"/>
                    <w:tr2bl w:val="nil"/>
                  </w:tcBorders>
                  <w:vAlign w:val="center"/>
                </w:tcPr>
                <w:p w14:paraId="2D611A4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元/t</w:t>
                  </w:r>
                </w:p>
              </w:tc>
              <w:tc>
                <w:tcPr>
                  <w:tcW w:w="3870" w:type="dxa"/>
                  <w:tcBorders>
                    <w:tl2br w:val="nil"/>
                    <w:tr2bl w:val="nil"/>
                  </w:tcBorders>
                  <w:vAlign w:val="center"/>
                </w:tcPr>
                <w:p w14:paraId="5795CB4B">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42.89/33.99</w:t>
                  </w:r>
                </w:p>
              </w:tc>
            </w:tr>
            <w:tr w14:paraId="392E116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960" w:type="dxa"/>
                  <w:tcBorders>
                    <w:tl2br w:val="nil"/>
                    <w:tr2bl w:val="nil"/>
                  </w:tcBorders>
                  <w:vAlign w:val="center"/>
                </w:tcPr>
                <w:p w14:paraId="53C58FDE">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p>
              </w:tc>
              <w:tc>
                <w:tcPr>
                  <w:tcW w:w="2541" w:type="dxa"/>
                  <w:tcBorders>
                    <w:tl2br w:val="nil"/>
                    <w:tr2bl w:val="nil"/>
                  </w:tcBorders>
                  <w:vAlign w:val="center"/>
                </w:tcPr>
                <w:p w14:paraId="7524663F">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三十三、建井工期</w:t>
                  </w:r>
                </w:p>
              </w:tc>
              <w:tc>
                <w:tcPr>
                  <w:tcW w:w="887" w:type="dxa"/>
                  <w:tcBorders>
                    <w:tl2br w:val="nil"/>
                    <w:tr2bl w:val="nil"/>
                  </w:tcBorders>
                  <w:vAlign w:val="center"/>
                </w:tcPr>
                <w:p w14:paraId="029D1729">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月</w:t>
                  </w:r>
                </w:p>
              </w:tc>
              <w:tc>
                <w:tcPr>
                  <w:tcW w:w="3870" w:type="dxa"/>
                  <w:tcBorders>
                    <w:tl2br w:val="nil"/>
                    <w:tr2bl w:val="nil"/>
                  </w:tcBorders>
                  <w:vAlign w:val="center"/>
                </w:tcPr>
                <w:p w14:paraId="0ECDFF08">
                  <w:pPr>
                    <w:keepNext w:val="0"/>
                    <w:keepLines w:val="0"/>
                    <w:widowControl w:val="0"/>
                    <w:suppressLineNumbers w:val="0"/>
                    <w:kinsoku/>
                    <w:autoSpaceDE/>
                    <w:autoSpaceDN/>
                    <w:adjustRightInd/>
                    <w:snapToGrid/>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30</w:t>
                  </w:r>
                </w:p>
              </w:tc>
            </w:tr>
          </w:tbl>
          <w:p w14:paraId="6AE28631">
            <w:pPr>
              <w:spacing w:line="360" w:lineRule="auto"/>
              <w:ind w:firstLine="480"/>
              <w:jc w:val="both"/>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4、</w:t>
            </w:r>
            <w:r>
              <w:rPr>
                <w:rFonts w:hint="eastAsia" w:ascii="Times New Roman" w:hAnsi="Times New Roman" w:eastAsia="宋体" w:cs="Times New Roman"/>
                <w:color w:val="auto"/>
                <w:sz w:val="24"/>
                <w:szCs w:val="24"/>
                <w:lang w:val="en-US" w:eastAsia="zh-CN"/>
              </w:rPr>
              <w:t>平面布置</w:t>
            </w:r>
          </w:p>
          <w:p w14:paraId="4FE54522">
            <w:pPr>
              <w:spacing w:line="360" w:lineRule="auto"/>
              <w:ind w:firstLine="480"/>
              <w:jc w:val="both"/>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主井生产区：该区位于工业场地东北部。布置有主井井塔、原煤带式输送机走廊（无选煤厂）、转载站及支护材料场、支柱加工房、场外临时排矸系统等。</w:t>
            </w:r>
          </w:p>
          <w:p w14:paraId="751E6CD1">
            <w:pPr>
              <w:spacing w:line="360" w:lineRule="auto"/>
              <w:ind w:firstLine="480"/>
              <w:jc w:val="both"/>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副井辅助生产区：该区位于工业场地中北部，主井生产区的西侧。布置有 副井井口房、空气加热室、副井井塔、矿井机修车间、材料库、材料棚、无轨胶 轮车库、井下消防材料库、岩粉库及油脂库、综采设备库、综采设备组装试验场地及东北角围墙外侧的排矸系统等。</w:t>
            </w:r>
          </w:p>
          <w:p w14:paraId="0D152454">
            <w:pPr>
              <w:spacing w:line="360" w:lineRule="auto"/>
              <w:ind w:firstLine="480"/>
              <w:jc w:val="both"/>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风井区：该区位于工业场地中东部，主井生产区、副井辅助生产区的东南侧。布置有通风机房（电控间、电机间及风机间）及风道、安全出口、泥浆搅拌间、水池、储土场及矿井110kV变电所。</w:t>
            </w:r>
          </w:p>
          <w:p w14:paraId="3C627E81">
            <w:pPr>
              <w:spacing w:line="360" w:lineRule="auto"/>
              <w:ind w:firstLine="480"/>
              <w:jc w:val="both"/>
              <w:rPr>
                <w:rFonts w:hint="eastAsia" w:cs="Times New Roman"/>
                <w:color w:val="auto"/>
                <w:sz w:val="24"/>
                <w:szCs w:val="24"/>
                <w:lang w:val="en-US" w:eastAsia="zh-CN"/>
              </w:rPr>
            </w:pPr>
            <w:r>
              <w:rPr>
                <w:rFonts w:hint="eastAsia"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生产技术管理区（场前区）：该区位于内外交通方便，环境宜人，景观秀丽，芳草叠翠的场区中南部。管区划分前、后两个分区。前区布置有行政办公联合建筑及中央式门卫室；后区为生产者上下井的聚落地。布置有任务交待室、食堂、矿灯房、更衣室及浴室联合建筑，井下消防储水池、井下水储水池、井下水提升泵房。前后两区以环道、绿地幽径分隔，人流分行，无互扰性，联系方便。前区的西侧布置有汽车库及日用消防水池、日用消防水泵房、换热</w:t>
            </w:r>
            <w:r>
              <w:rPr>
                <w:rFonts w:hint="default" w:cs="Times New Roman"/>
                <w:color w:val="auto"/>
                <w:sz w:val="24"/>
                <w:szCs w:val="24"/>
                <w:lang w:val="en-US" w:eastAsia="zh-CN"/>
              </w:rPr>
              <w:t>站等。围墙内占地面积8.40hm</w:t>
            </w:r>
            <w:r>
              <w:rPr>
                <w:rFonts w:hint="default" w:cs="Times New Roman"/>
                <w:color w:val="auto"/>
                <w:sz w:val="24"/>
                <w:szCs w:val="24"/>
                <w:vertAlign w:val="superscript"/>
                <w:lang w:val="en-US" w:eastAsia="zh-CN"/>
              </w:rPr>
              <w:t>2</w:t>
            </w:r>
            <w:r>
              <w:rPr>
                <w:rFonts w:hint="default" w:cs="Times New Roman"/>
                <w:color w:val="auto"/>
                <w:sz w:val="24"/>
                <w:szCs w:val="24"/>
                <w:lang w:val="en-US" w:eastAsia="zh-CN"/>
              </w:rPr>
              <w:t>，排矸系统占地面积0.35hm</w:t>
            </w:r>
            <w:r>
              <w:rPr>
                <w:rFonts w:hint="default" w:cs="Times New Roman"/>
                <w:color w:val="auto"/>
                <w:sz w:val="24"/>
                <w:szCs w:val="24"/>
                <w:vertAlign w:val="superscript"/>
                <w:lang w:val="en-US" w:eastAsia="zh-CN"/>
              </w:rPr>
              <w:t>2</w:t>
            </w:r>
            <w:r>
              <w:rPr>
                <w:rFonts w:hint="default" w:cs="Times New Roman"/>
                <w:color w:val="auto"/>
                <w:sz w:val="24"/>
                <w:szCs w:val="24"/>
                <w:lang w:val="en-US" w:eastAsia="zh-CN"/>
              </w:rPr>
              <w:t>，合计8.75hm</w:t>
            </w:r>
            <w:r>
              <w:rPr>
                <w:rFonts w:hint="default" w:cs="Times New Roman"/>
                <w:color w:val="auto"/>
                <w:sz w:val="24"/>
                <w:szCs w:val="24"/>
                <w:vertAlign w:val="superscript"/>
                <w:lang w:val="en-US" w:eastAsia="zh-CN"/>
              </w:rPr>
              <w:t>2</w:t>
            </w:r>
            <w:r>
              <w:rPr>
                <w:rFonts w:hint="default" w:cs="Times New Roman"/>
                <w:color w:val="auto"/>
                <w:sz w:val="24"/>
                <w:szCs w:val="24"/>
                <w:lang w:val="en-US" w:eastAsia="zh-CN"/>
              </w:rPr>
              <w:t>。</w:t>
            </w:r>
            <w:r>
              <w:rPr>
                <w:rFonts w:hint="eastAsia" w:cs="Times New Roman"/>
                <w:color w:val="auto"/>
                <w:sz w:val="24"/>
                <w:szCs w:val="24"/>
                <w:lang w:val="en-US" w:eastAsia="zh-CN"/>
              </w:rPr>
              <w:t xml:space="preserve">    </w:t>
            </w:r>
          </w:p>
          <w:p w14:paraId="4080E79B">
            <w:pPr>
              <w:spacing w:line="360" w:lineRule="auto"/>
              <w:ind w:firstLine="480"/>
              <w:jc w:val="both"/>
              <w:rPr>
                <w:rFonts w:hint="default" w:cs="Times New Roman"/>
                <w:color w:val="auto"/>
                <w:sz w:val="24"/>
                <w:szCs w:val="24"/>
                <w:lang w:val="en-US" w:eastAsia="zh-CN"/>
              </w:rPr>
            </w:pPr>
            <w:r>
              <w:rPr>
                <w:rFonts w:hint="eastAsia" w:cs="Times New Roman"/>
                <w:color w:val="auto"/>
                <w:sz w:val="24"/>
                <w:szCs w:val="24"/>
                <w:lang w:val="en-US" w:eastAsia="zh-CN"/>
              </w:rPr>
              <w:t>5、现有工程污染物排放量</w:t>
            </w:r>
          </w:p>
          <w:p w14:paraId="4C857293">
            <w:pPr>
              <w:spacing w:line="360" w:lineRule="auto"/>
              <w:ind w:firstLine="480"/>
              <w:jc w:val="both"/>
              <w:rPr>
                <w:rFonts w:hint="eastAsia" w:cs="Times New Roman"/>
                <w:color w:val="auto"/>
                <w:sz w:val="24"/>
                <w:szCs w:val="24"/>
                <w:lang w:val="en-US" w:eastAsia="zh-CN"/>
              </w:rPr>
            </w:pPr>
            <w:r>
              <w:rPr>
                <w:rFonts w:hint="eastAsia" w:cs="Times New Roman"/>
                <w:color w:val="auto"/>
                <w:sz w:val="24"/>
                <w:szCs w:val="24"/>
                <w:lang w:val="en-US" w:eastAsia="zh-CN"/>
              </w:rPr>
              <w:t>项目现有工程</w:t>
            </w:r>
            <w:r>
              <w:rPr>
                <w:rFonts w:hint="eastAsia" w:eastAsia="Times New Roman"/>
                <w:color w:val="auto"/>
                <w:sz w:val="24"/>
                <w:szCs w:val="24"/>
                <w:lang w:val="en-US" w:eastAsia="zh-CN"/>
              </w:rPr>
              <w:t>辅助提升及运输系统不产生污染物，全厂污染物排放见下表。</w:t>
            </w:r>
          </w:p>
          <w:p w14:paraId="6061BE1A">
            <w:pPr>
              <w:pStyle w:val="34"/>
              <w:spacing w:line="360" w:lineRule="auto"/>
              <w:rPr>
                <w:color w:val="auto"/>
                <w:sz w:val="21"/>
                <w:szCs w:val="21"/>
              </w:rPr>
            </w:pPr>
            <w:r>
              <w:rPr>
                <w:color w:val="auto"/>
                <w:sz w:val="21"/>
                <w:szCs w:val="21"/>
              </w:rPr>
              <w:t>表</w:t>
            </w:r>
            <w:r>
              <w:rPr>
                <w:rFonts w:hint="eastAsia"/>
                <w:color w:val="auto"/>
                <w:sz w:val="21"/>
                <w:szCs w:val="21"/>
                <w:lang w:val="en-US" w:eastAsia="zh-CN"/>
              </w:rPr>
              <w:t xml:space="preserve">3-11  </w:t>
            </w:r>
            <w:r>
              <w:rPr>
                <w:color w:val="auto"/>
                <w:sz w:val="21"/>
                <w:szCs w:val="21"/>
              </w:rPr>
              <w:t xml:space="preserve">  </w:t>
            </w:r>
            <w:r>
              <w:rPr>
                <w:rFonts w:hint="eastAsia"/>
                <w:color w:val="auto"/>
                <w:sz w:val="21"/>
                <w:szCs w:val="21"/>
              </w:rPr>
              <w:t>现有工程</w:t>
            </w:r>
            <w:r>
              <w:rPr>
                <w:rFonts w:hint="eastAsia"/>
                <w:color w:val="auto"/>
                <w:sz w:val="21"/>
                <w:szCs w:val="21"/>
                <w:lang w:val="en-US" w:eastAsia="zh-CN"/>
              </w:rPr>
              <w:t>全厂</w:t>
            </w:r>
            <w:r>
              <w:rPr>
                <w:rFonts w:hint="eastAsia"/>
                <w:color w:val="auto"/>
                <w:sz w:val="21"/>
                <w:szCs w:val="21"/>
              </w:rPr>
              <w:t>污染物排放情况</w:t>
            </w:r>
            <w:r>
              <w:rPr>
                <w:color w:val="auto"/>
                <w:sz w:val="21"/>
                <w:szCs w:val="21"/>
              </w:rPr>
              <w:t xml:space="preserve"> </w:t>
            </w:r>
            <w:r>
              <w:rPr>
                <w:rFonts w:hint="eastAsia"/>
                <w:color w:val="auto"/>
                <w:sz w:val="21"/>
                <w:szCs w:val="21"/>
              </w:rPr>
              <w:t xml:space="preserve"> </w:t>
            </w:r>
            <w:r>
              <w:rPr>
                <w:color w:val="auto"/>
                <w:sz w:val="21"/>
                <w:szCs w:val="21"/>
              </w:rPr>
              <w:t xml:space="preserve">  单位：t/a</w:t>
            </w:r>
          </w:p>
          <w:tbl>
            <w:tblPr>
              <w:tblStyle w:val="54"/>
              <w:tblW w:w="8233"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88"/>
              <w:gridCol w:w="925"/>
              <w:gridCol w:w="308"/>
              <w:gridCol w:w="1431"/>
              <w:gridCol w:w="166"/>
              <w:gridCol w:w="1265"/>
              <w:gridCol w:w="1487"/>
              <w:gridCol w:w="2063"/>
            </w:tblGrid>
            <w:tr w14:paraId="21049F6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5000" w:type="pct"/>
                  <w:gridSpan w:val="8"/>
                  <w:tcBorders>
                    <w:tl2br w:val="nil"/>
                    <w:tr2bl w:val="nil"/>
                  </w:tcBorders>
                  <w:vAlign w:val="center"/>
                </w:tcPr>
                <w:p w14:paraId="05984BBC">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b/>
                      <w:bCs/>
                      <w:color w:val="auto"/>
                      <w:sz w:val="21"/>
                      <w:szCs w:val="21"/>
                      <w:lang w:val="en-US" w:eastAsia="zh-CN"/>
                    </w:rPr>
                    <w:t>二、固废</w:t>
                  </w:r>
                </w:p>
              </w:tc>
            </w:tr>
            <w:tr w14:paraId="6F8FE18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restart"/>
                  <w:tcBorders>
                    <w:tl2br w:val="nil"/>
                    <w:tr2bl w:val="nil"/>
                  </w:tcBorders>
                  <w:vAlign w:val="center"/>
                </w:tcPr>
                <w:p w14:paraId="3E439FAF">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固废</w:t>
                  </w:r>
                </w:p>
              </w:tc>
              <w:tc>
                <w:tcPr>
                  <w:tcW w:w="562" w:type="pct"/>
                  <w:tcBorders>
                    <w:tl2br w:val="nil"/>
                    <w:tr2bl w:val="nil"/>
                  </w:tcBorders>
                  <w:vAlign w:val="center"/>
                </w:tcPr>
                <w:p w14:paraId="49F75977">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序号</w:t>
                  </w:r>
                </w:p>
              </w:tc>
              <w:tc>
                <w:tcPr>
                  <w:tcW w:w="1157" w:type="pct"/>
                  <w:gridSpan w:val="3"/>
                  <w:tcBorders>
                    <w:tl2br w:val="nil"/>
                    <w:tr2bl w:val="nil"/>
                  </w:tcBorders>
                  <w:vAlign w:val="center"/>
                </w:tcPr>
                <w:p w14:paraId="1F40EC75">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污染源及名称</w:t>
                  </w:r>
                </w:p>
              </w:tc>
              <w:tc>
                <w:tcPr>
                  <w:tcW w:w="768" w:type="pct"/>
                  <w:tcBorders>
                    <w:tl2br w:val="nil"/>
                    <w:tr2bl w:val="nil"/>
                  </w:tcBorders>
                  <w:vAlign w:val="center"/>
                </w:tcPr>
                <w:p w14:paraId="6B197C4D">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排放量t/a</w:t>
                  </w:r>
                </w:p>
              </w:tc>
              <w:tc>
                <w:tcPr>
                  <w:tcW w:w="903" w:type="pct"/>
                  <w:tcBorders>
                    <w:tl2br w:val="nil"/>
                    <w:tr2bl w:val="nil"/>
                  </w:tcBorders>
                  <w:vAlign w:val="center"/>
                </w:tcPr>
                <w:p w14:paraId="4008D23D">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类别</w:t>
                  </w:r>
                </w:p>
              </w:tc>
              <w:tc>
                <w:tcPr>
                  <w:tcW w:w="1251" w:type="pct"/>
                  <w:tcBorders>
                    <w:tl2br w:val="nil"/>
                    <w:tr2bl w:val="nil"/>
                  </w:tcBorders>
                  <w:vAlign w:val="center"/>
                </w:tcPr>
                <w:p w14:paraId="5451623E">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排放方式及去向</w:t>
                  </w:r>
                </w:p>
              </w:tc>
            </w:tr>
            <w:tr w14:paraId="71E6500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continue"/>
                  <w:tcBorders>
                    <w:tl2br w:val="nil"/>
                    <w:tr2bl w:val="nil"/>
                  </w:tcBorders>
                  <w:vAlign w:val="center"/>
                </w:tcPr>
                <w:p w14:paraId="386E535B">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p>
              </w:tc>
              <w:tc>
                <w:tcPr>
                  <w:tcW w:w="562" w:type="pct"/>
                  <w:tcBorders>
                    <w:tl2br w:val="nil"/>
                    <w:tr2bl w:val="nil"/>
                  </w:tcBorders>
                  <w:vAlign w:val="center"/>
                </w:tcPr>
                <w:p w14:paraId="40A307E6">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S</w:t>
                  </w:r>
                  <w:r>
                    <w:rPr>
                      <w:rFonts w:hint="eastAsia" w:ascii="Times New Roman" w:hAnsi="Times New Roman" w:cs="Times New Roman"/>
                      <w:color w:val="auto"/>
                      <w:sz w:val="21"/>
                      <w:szCs w:val="21"/>
                      <w:lang w:val="en-US" w:eastAsia="zh-CN"/>
                    </w:rPr>
                    <w:t>1</w:t>
                  </w:r>
                </w:p>
              </w:tc>
              <w:tc>
                <w:tcPr>
                  <w:tcW w:w="1157" w:type="pct"/>
                  <w:gridSpan w:val="3"/>
                  <w:tcBorders>
                    <w:tl2br w:val="nil"/>
                    <w:tr2bl w:val="nil"/>
                  </w:tcBorders>
                  <w:vAlign w:val="center"/>
                </w:tcPr>
                <w:p w14:paraId="40415E43">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矸石</w:t>
                  </w:r>
                </w:p>
              </w:tc>
              <w:tc>
                <w:tcPr>
                  <w:tcW w:w="768" w:type="pct"/>
                  <w:tcBorders>
                    <w:tl2br w:val="nil"/>
                    <w:tr2bl w:val="nil"/>
                  </w:tcBorders>
                  <w:vAlign w:val="center"/>
                </w:tcPr>
                <w:p w14:paraId="3DA1CC7A">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3000</w:t>
                  </w:r>
                </w:p>
              </w:tc>
              <w:tc>
                <w:tcPr>
                  <w:tcW w:w="903" w:type="pct"/>
                  <w:tcBorders>
                    <w:tl2br w:val="nil"/>
                    <w:tr2bl w:val="nil"/>
                  </w:tcBorders>
                  <w:vAlign w:val="center"/>
                </w:tcPr>
                <w:p w14:paraId="0631E4AE">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一般固废</w:t>
                  </w:r>
                </w:p>
              </w:tc>
              <w:tc>
                <w:tcPr>
                  <w:tcW w:w="1251" w:type="pct"/>
                  <w:tcBorders>
                    <w:tl2br w:val="nil"/>
                    <w:tr2bl w:val="nil"/>
                  </w:tcBorders>
                  <w:vAlign w:val="center"/>
                </w:tcPr>
                <w:p w14:paraId="1B60848E">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掘进矸作为生产原料供给大雁煤业公司建材总厂。</w:t>
                  </w:r>
                </w:p>
              </w:tc>
            </w:tr>
            <w:tr w14:paraId="2211947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continue"/>
                  <w:tcBorders>
                    <w:tl2br w:val="nil"/>
                    <w:tr2bl w:val="nil"/>
                  </w:tcBorders>
                  <w:vAlign w:val="center"/>
                </w:tcPr>
                <w:p w14:paraId="7544A828">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p>
              </w:tc>
              <w:tc>
                <w:tcPr>
                  <w:tcW w:w="562" w:type="pct"/>
                  <w:tcBorders>
                    <w:tl2br w:val="nil"/>
                    <w:tr2bl w:val="nil"/>
                  </w:tcBorders>
                  <w:vAlign w:val="center"/>
                </w:tcPr>
                <w:p w14:paraId="39D79789">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S2</w:t>
                  </w:r>
                </w:p>
              </w:tc>
              <w:tc>
                <w:tcPr>
                  <w:tcW w:w="1157" w:type="pct"/>
                  <w:gridSpan w:val="3"/>
                  <w:tcBorders>
                    <w:tl2br w:val="nil"/>
                    <w:tr2bl w:val="nil"/>
                  </w:tcBorders>
                  <w:vAlign w:val="center"/>
                </w:tcPr>
                <w:p w14:paraId="4810BA01">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污泥</w:t>
                  </w:r>
                </w:p>
              </w:tc>
              <w:tc>
                <w:tcPr>
                  <w:tcW w:w="768" w:type="pct"/>
                  <w:tcBorders>
                    <w:tl2br w:val="nil"/>
                    <w:tr2bl w:val="nil"/>
                  </w:tcBorders>
                  <w:vAlign w:val="center"/>
                </w:tcPr>
                <w:p w14:paraId="107AD6E1">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1800</w:t>
                  </w:r>
                </w:p>
              </w:tc>
              <w:tc>
                <w:tcPr>
                  <w:tcW w:w="903" w:type="pct"/>
                  <w:tcBorders>
                    <w:tl2br w:val="nil"/>
                    <w:tr2bl w:val="nil"/>
                  </w:tcBorders>
                  <w:vAlign w:val="center"/>
                </w:tcPr>
                <w:p w14:paraId="4310FD12">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一般固废</w:t>
                  </w:r>
                </w:p>
              </w:tc>
              <w:tc>
                <w:tcPr>
                  <w:tcW w:w="1251" w:type="pct"/>
                  <w:tcBorders>
                    <w:tl2br w:val="nil"/>
                    <w:tr2bl w:val="nil"/>
                  </w:tcBorders>
                  <w:vAlign w:val="center"/>
                </w:tcPr>
                <w:p w14:paraId="5639D9E4">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矿区堆肥，用于矿区沉陷区治理或运往伊敏镇垃圾填埋场处置</w:t>
                  </w:r>
                </w:p>
              </w:tc>
            </w:tr>
            <w:tr w14:paraId="4EAE8C9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continue"/>
                  <w:tcBorders>
                    <w:tl2br w:val="nil"/>
                    <w:tr2bl w:val="nil"/>
                  </w:tcBorders>
                  <w:vAlign w:val="center"/>
                </w:tcPr>
                <w:p w14:paraId="2F516F7D">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p>
              </w:tc>
              <w:tc>
                <w:tcPr>
                  <w:tcW w:w="562" w:type="pct"/>
                  <w:tcBorders>
                    <w:tl2br w:val="nil"/>
                    <w:tr2bl w:val="nil"/>
                  </w:tcBorders>
                  <w:vAlign w:val="center"/>
                </w:tcPr>
                <w:p w14:paraId="70BA2553">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S3</w:t>
                  </w:r>
                </w:p>
              </w:tc>
              <w:tc>
                <w:tcPr>
                  <w:tcW w:w="1157" w:type="pct"/>
                  <w:gridSpan w:val="3"/>
                  <w:tcBorders>
                    <w:tl2br w:val="nil"/>
                    <w:tr2bl w:val="nil"/>
                  </w:tcBorders>
                  <w:vAlign w:val="center"/>
                </w:tcPr>
                <w:p w14:paraId="529223FC">
                  <w:pPr>
                    <w:pStyle w:val="63"/>
                    <w:kinsoku/>
                    <w:autoSpaceDE/>
                    <w:autoSpaceDN/>
                    <w:adjustRightInd w:val="0"/>
                    <w:snapToGrid w:val="0"/>
                    <w:spacing w:before="0" w:beforeAutospacing="0" w:after="0" w:afterAutospacing="0" w:line="240" w:lineRule="auto"/>
                    <w:ind w:left="0" w:leftChars="0" w:right="0" w:right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生活垃圾</w:t>
                  </w:r>
                </w:p>
              </w:tc>
              <w:tc>
                <w:tcPr>
                  <w:tcW w:w="768" w:type="pct"/>
                  <w:tcBorders>
                    <w:tl2br w:val="nil"/>
                    <w:tr2bl w:val="nil"/>
                  </w:tcBorders>
                  <w:vAlign w:val="center"/>
                </w:tcPr>
                <w:p w14:paraId="16CD2674">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108.57</w:t>
                  </w:r>
                </w:p>
              </w:tc>
              <w:tc>
                <w:tcPr>
                  <w:tcW w:w="903" w:type="pct"/>
                  <w:tcBorders>
                    <w:tl2br w:val="nil"/>
                    <w:tr2bl w:val="nil"/>
                  </w:tcBorders>
                  <w:vAlign w:val="center"/>
                </w:tcPr>
                <w:p w14:paraId="4A1FDA07">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251" w:type="pct"/>
                  <w:tcBorders>
                    <w:tl2br w:val="nil"/>
                    <w:tr2bl w:val="nil"/>
                  </w:tcBorders>
                  <w:vAlign w:val="center"/>
                </w:tcPr>
                <w:p w14:paraId="4417F096">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eastAsia="宋体" w:cs="Times New Roman"/>
                      <w:color w:val="auto"/>
                      <w:kern w:val="2"/>
                      <w:sz w:val="21"/>
                      <w:szCs w:val="21"/>
                      <w:lang w:val="en-US" w:eastAsia="zh-CN"/>
                    </w:rPr>
                    <w:t>运营期产生的生活垃圾</w:t>
                  </w:r>
                  <w:r>
                    <w:rPr>
                      <w:rFonts w:hint="eastAsia" w:cs="Times New Roman"/>
                      <w:color w:val="auto"/>
                      <w:kern w:val="2"/>
                      <w:sz w:val="21"/>
                      <w:szCs w:val="21"/>
                      <w:lang w:val="en-US" w:eastAsia="zh-CN"/>
                    </w:rPr>
                    <w:t>委托呼伦贝尔市石全经贸有限公司清运</w:t>
                  </w:r>
                  <w:r>
                    <w:rPr>
                      <w:rFonts w:hint="eastAsia" w:eastAsia="宋体" w:cs="Times New Roman"/>
                      <w:color w:val="auto"/>
                      <w:kern w:val="2"/>
                      <w:sz w:val="21"/>
                      <w:szCs w:val="21"/>
                      <w:lang w:val="en-US" w:eastAsia="zh-CN"/>
                    </w:rPr>
                    <w:t>。</w:t>
                  </w:r>
                </w:p>
              </w:tc>
            </w:tr>
            <w:tr w14:paraId="6F6EAC6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5000" w:type="pct"/>
                  <w:gridSpan w:val="8"/>
                  <w:tcBorders>
                    <w:tl2br w:val="nil"/>
                    <w:tr2bl w:val="nil"/>
                  </w:tcBorders>
                  <w:vAlign w:val="center"/>
                </w:tcPr>
                <w:p w14:paraId="76977EEE">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b/>
                      <w:bCs/>
                      <w:color w:val="auto"/>
                      <w:sz w:val="21"/>
                      <w:szCs w:val="21"/>
                      <w:lang w:val="en-US" w:eastAsia="zh-CN"/>
                    </w:rPr>
                    <w:t>三、废水</w:t>
                  </w:r>
                </w:p>
              </w:tc>
            </w:tr>
            <w:tr w14:paraId="6BA6D5A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restart"/>
                  <w:tcBorders>
                    <w:tl2br w:val="nil"/>
                    <w:tr2bl w:val="nil"/>
                  </w:tcBorders>
                  <w:vAlign w:val="center"/>
                </w:tcPr>
                <w:p w14:paraId="3D051CDF">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废水</w:t>
                  </w:r>
                </w:p>
              </w:tc>
              <w:tc>
                <w:tcPr>
                  <w:tcW w:w="749" w:type="pct"/>
                  <w:gridSpan w:val="2"/>
                  <w:tcBorders>
                    <w:tl2br w:val="nil"/>
                    <w:tr2bl w:val="nil"/>
                  </w:tcBorders>
                  <w:vAlign w:val="center"/>
                </w:tcPr>
                <w:p w14:paraId="631E7EAA">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869" w:type="pct"/>
                  <w:tcBorders>
                    <w:tl2br w:val="nil"/>
                    <w:tr2bl w:val="nil"/>
                  </w:tcBorders>
                  <w:vAlign w:val="center"/>
                </w:tcPr>
                <w:p w14:paraId="3C945BAC">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废水量</w:t>
                  </w:r>
                  <w:r>
                    <w:rPr>
                      <w:rFonts w:hint="eastAsia"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/a</w:t>
                  </w:r>
                </w:p>
              </w:tc>
              <w:tc>
                <w:tcPr>
                  <w:tcW w:w="869" w:type="pct"/>
                  <w:gridSpan w:val="2"/>
                  <w:tcBorders>
                    <w:tl2br w:val="nil"/>
                    <w:tr2bl w:val="nil"/>
                  </w:tcBorders>
                  <w:vAlign w:val="center"/>
                </w:tcPr>
                <w:p w14:paraId="214F3A45">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tc>
              <w:tc>
                <w:tcPr>
                  <w:tcW w:w="903" w:type="pct"/>
                  <w:tcBorders>
                    <w:tl2br w:val="nil"/>
                    <w:tr2bl w:val="nil"/>
                  </w:tcBorders>
                  <w:vAlign w:val="center"/>
                </w:tcPr>
                <w:p w14:paraId="71B6286E">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eastAsia="zh-CN"/>
                    </w:rPr>
                    <w:t>排放量</w:t>
                  </w:r>
                  <w:r>
                    <w:rPr>
                      <w:rFonts w:hint="eastAsia" w:ascii="Times New Roman" w:hAnsi="Times New Roman" w:cs="Times New Roman"/>
                      <w:color w:val="auto"/>
                      <w:sz w:val="21"/>
                      <w:szCs w:val="21"/>
                      <w:lang w:val="en-US" w:eastAsia="zh-CN"/>
                    </w:rPr>
                    <w:t>t/a</w:t>
                  </w:r>
                </w:p>
              </w:tc>
              <w:tc>
                <w:tcPr>
                  <w:tcW w:w="1251" w:type="pct"/>
                  <w:tcBorders>
                    <w:tl2br w:val="nil"/>
                    <w:tr2bl w:val="nil"/>
                  </w:tcBorders>
                  <w:vAlign w:val="center"/>
                </w:tcPr>
                <w:p w14:paraId="589E629C">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备注</w:t>
                  </w:r>
                </w:p>
              </w:tc>
            </w:tr>
            <w:tr w14:paraId="15E9C08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continue"/>
                  <w:tcBorders>
                    <w:tl2br w:val="nil"/>
                    <w:tr2bl w:val="nil"/>
                  </w:tcBorders>
                  <w:vAlign w:val="center"/>
                </w:tcPr>
                <w:p w14:paraId="1C90CD1A">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p>
              </w:tc>
              <w:tc>
                <w:tcPr>
                  <w:tcW w:w="749" w:type="pct"/>
                  <w:gridSpan w:val="2"/>
                  <w:tcBorders>
                    <w:tl2br w:val="nil"/>
                    <w:tr2bl w:val="nil"/>
                  </w:tcBorders>
                  <w:vAlign w:val="center"/>
                </w:tcPr>
                <w:p w14:paraId="7AE376A8">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矿井水</w:t>
                  </w:r>
                </w:p>
              </w:tc>
              <w:tc>
                <w:tcPr>
                  <w:tcW w:w="869" w:type="pct"/>
                  <w:tcBorders>
                    <w:tl2br w:val="nil"/>
                    <w:tr2bl w:val="nil"/>
                  </w:tcBorders>
                  <w:vAlign w:val="center"/>
                </w:tcPr>
                <w:p w14:paraId="20F7F942">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9052000</w:t>
                  </w:r>
                </w:p>
              </w:tc>
              <w:tc>
                <w:tcPr>
                  <w:tcW w:w="869" w:type="pct"/>
                  <w:gridSpan w:val="2"/>
                  <w:tcBorders>
                    <w:tl2br w:val="nil"/>
                    <w:tr2bl w:val="nil"/>
                  </w:tcBorders>
                  <w:vAlign w:val="center"/>
                </w:tcPr>
                <w:p w14:paraId="40F37975">
                  <w:pPr>
                    <w:pStyle w:val="63"/>
                    <w:kinsoku/>
                    <w:autoSpaceDE/>
                    <w:autoSpaceDN/>
                    <w:adjustRightInd w:val="0"/>
                    <w:snapToGrid w:val="0"/>
                    <w:spacing w:before="0" w:beforeAutospacing="0" w:after="0" w:afterAutospacing="0" w:line="240" w:lineRule="auto"/>
                    <w:ind w:left="0" w:leftChars="0" w:right="0" w:rightChars="0"/>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COD</w:t>
                  </w:r>
                  <w:r>
                    <w:rPr>
                      <w:rFonts w:hint="eastAsia" w:ascii="Times New Roman" w:hAnsi="Times New Roman" w:eastAsia="宋体" w:cs="Times New Roman"/>
                      <w:color w:val="auto"/>
                      <w:sz w:val="21"/>
                      <w:szCs w:val="21"/>
                      <w:vertAlign w:val="subscript"/>
                      <w:lang w:val="en-US" w:eastAsia="zh-CN"/>
                    </w:rPr>
                    <w:t>5</w:t>
                  </w:r>
                </w:p>
                <w:p w14:paraId="1B6FB9C6">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氨氮</w:t>
                  </w:r>
                </w:p>
              </w:tc>
              <w:tc>
                <w:tcPr>
                  <w:tcW w:w="903" w:type="pct"/>
                  <w:tcBorders>
                    <w:tl2br w:val="nil"/>
                    <w:tr2bl w:val="nil"/>
                  </w:tcBorders>
                  <w:vAlign w:val="center"/>
                </w:tcPr>
                <w:p w14:paraId="24DF19D9">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4.31</w:t>
                  </w:r>
                  <w:r>
                    <w:rPr>
                      <w:rFonts w:hint="eastAsia" w:ascii="Times New Roman" w:hAnsi="Times New Roman" w:cs="Times New Roman"/>
                      <w:color w:val="auto"/>
                      <w:sz w:val="21"/>
                      <w:szCs w:val="21"/>
                      <w:lang w:val="en-US" w:eastAsia="zh-CN"/>
                    </w:rPr>
                    <w:br w:type="textWrapping"/>
                  </w:r>
                  <w:r>
                    <w:rPr>
                      <w:rFonts w:hint="eastAsia" w:ascii="Times New Roman" w:hAnsi="Times New Roman" w:cs="Times New Roman"/>
                      <w:color w:val="auto"/>
                      <w:sz w:val="21"/>
                      <w:szCs w:val="21"/>
                      <w:lang w:val="en-US" w:eastAsia="zh-CN"/>
                    </w:rPr>
                    <w:t>0.53</w:t>
                  </w:r>
                </w:p>
              </w:tc>
              <w:tc>
                <w:tcPr>
                  <w:tcW w:w="1251" w:type="pct"/>
                  <w:tcBorders>
                    <w:tl2br w:val="nil"/>
                    <w:tr2bl w:val="nil"/>
                  </w:tcBorders>
                  <w:vAlign w:val="center"/>
                </w:tcPr>
                <w:p w14:paraId="45007D84">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经处理后，部分回用至鄂温克电厂，部分外排至伊敏河</w:t>
                  </w:r>
                </w:p>
              </w:tc>
            </w:tr>
            <w:tr w14:paraId="69A1FF7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57" w:type="pct"/>
                  <w:vMerge w:val="continue"/>
                  <w:tcBorders>
                    <w:tl2br w:val="nil"/>
                    <w:tr2bl w:val="nil"/>
                  </w:tcBorders>
                  <w:vAlign w:val="center"/>
                </w:tcPr>
                <w:p w14:paraId="6A07E1A4">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p>
              </w:tc>
              <w:tc>
                <w:tcPr>
                  <w:tcW w:w="749" w:type="pct"/>
                  <w:gridSpan w:val="2"/>
                  <w:tcBorders>
                    <w:tl2br w:val="nil"/>
                    <w:tr2bl w:val="nil"/>
                  </w:tcBorders>
                  <w:vAlign w:val="center"/>
                </w:tcPr>
                <w:p w14:paraId="463B6DFC">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生活污水</w:t>
                  </w:r>
                </w:p>
              </w:tc>
              <w:tc>
                <w:tcPr>
                  <w:tcW w:w="869" w:type="pct"/>
                  <w:tcBorders>
                    <w:tl2br w:val="nil"/>
                    <w:tr2bl w:val="nil"/>
                  </w:tcBorders>
                  <w:vAlign w:val="center"/>
                </w:tcPr>
                <w:p w14:paraId="2E44804E">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201680</w:t>
                  </w:r>
                </w:p>
              </w:tc>
              <w:tc>
                <w:tcPr>
                  <w:tcW w:w="869" w:type="pct"/>
                  <w:gridSpan w:val="2"/>
                  <w:tcBorders>
                    <w:tl2br w:val="nil"/>
                    <w:tr2bl w:val="nil"/>
                  </w:tcBorders>
                  <w:vAlign w:val="center"/>
                </w:tcPr>
                <w:p w14:paraId="137110EE">
                  <w:pPr>
                    <w:pStyle w:val="63"/>
                    <w:kinsoku/>
                    <w:autoSpaceDE/>
                    <w:autoSpaceDN/>
                    <w:adjustRightInd w:val="0"/>
                    <w:snapToGrid w:val="0"/>
                    <w:spacing w:before="0" w:beforeAutospacing="0" w:after="0" w:afterAutospacing="0" w:line="240" w:lineRule="auto"/>
                    <w:ind w:left="0" w:leftChars="0" w:right="0" w:rightChars="0"/>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COD</w:t>
                  </w:r>
                  <w:r>
                    <w:rPr>
                      <w:rFonts w:hint="eastAsia" w:ascii="Times New Roman" w:hAnsi="Times New Roman" w:eastAsia="宋体" w:cs="Times New Roman"/>
                      <w:color w:val="auto"/>
                      <w:sz w:val="21"/>
                      <w:szCs w:val="21"/>
                      <w:vertAlign w:val="subscript"/>
                      <w:lang w:val="en-US" w:eastAsia="zh-CN"/>
                    </w:rPr>
                    <w:t>5</w:t>
                  </w:r>
                </w:p>
                <w:p w14:paraId="6E8874CB">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氨氮</w:t>
                  </w:r>
                </w:p>
              </w:tc>
              <w:tc>
                <w:tcPr>
                  <w:tcW w:w="903" w:type="pct"/>
                  <w:tcBorders>
                    <w:tl2br w:val="nil"/>
                    <w:tr2bl w:val="nil"/>
                  </w:tcBorders>
                  <w:vAlign w:val="center"/>
                </w:tcPr>
                <w:p w14:paraId="4E7289E2">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不外排</w:t>
                  </w:r>
                </w:p>
              </w:tc>
              <w:tc>
                <w:tcPr>
                  <w:tcW w:w="1251" w:type="pct"/>
                  <w:tcBorders>
                    <w:tl2br w:val="nil"/>
                    <w:tr2bl w:val="nil"/>
                  </w:tcBorders>
                  <w:vAlign w:val="center"/>
                </w:tcPr>
                <w:p w14:paraId="2BC00DF3">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处理后回用于鄂温克电厂用水。</w:t>
                  </w:r>
                </w:p>
              </w:tc>
            </w:tr>
          </w:tbl>
          <w:p w14:paraId="691BCC5E">
            <w:pPr>
              <w:pStyle w:val="34"/>
              <w:spacing w:line="36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表3</w:t>
            </w:r>
            <w:r>
              <w:rPr>
                <w:rFonts w:hint="eastAsia" w:ascii="Times New Roman" w:hAnsi="Times New Roman" w:eastAsia="宋体" w:cs="Times New Roman"/>
                <w:color w:val="auto"/>
                <w:sz w:val="21"/>
                <w:szCs w:val="21"/>
                <w:lang w:val="en-US" w:eastAsia="zh-CN"/>
              </w:rPr>
              <w:t xml:space="preserve">-12    </w:t>
            </w:r>
            <w:r>
              <w:rPr>
                <w:rFonts w:hint="default" w:ascii="Times New Roman" w:hAnsi="Times New Roman" w:eastAsia="宋体" w:cs="Times New Roman"/>
                <w:color w:val="auto"/>
                <w:sz w:val="21"/>
                <w:szCs w:val="21"/>
                <w:lang w:val="en-US" w:eastAsia="zh-CN"/>
              </w:rPr>
              <w:t>污染物排放“三本账”分析    单位：t/a</w:t>
            </w:r>
          </w:p>
          <w:tbl>
            <w:tblPr>
              <w:tblStyle w:val="1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613"/>
              <w:gridCol w:w="1316"/>
              <w:gridCol w:w="1296"/>
              <w:gridCol w:w="1881"/>
              <w:gridCol w:w="1283"/>
              <w:gridCol w:w="1412"/>
            </w:tblGrid>
            <w:tr w14:paraId="381B46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blHeader/>
              </w:trPr>
              <w:tc>
                <w:tcPr>
                  <w:tcW w:w="2463" w:type="dxa"/>
                  <w:gridSpan w:val="3"/>
                  <w:tcBorders>
                    <w:tl2br w:val="nil"/>
                    <w:tr2bl w:val="nil"/>
                  </w:tcBorders>
                  <w:noWrap w:val="0"/>
                  <w:vAlign w:val="center"/>
                </w:tcPr>
                <w:p w14:paraId="23C1F397">
                  <w:pPr>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种类</w:t>
                  </w:r>
                </w:p>
              </w:tc>
              <w:tc>
                <w:tcPr>
                  <w:tcW w:w="1273" w:type="dxa"/>
                  <w:tcBorders>
                    <w:tl2br w:val="nil"/>
                    <w:tr2bl w:val="nil"/>
                  </w:tcBorders>
                  <w:noWrap w:val="0"/>
                  <w:vAlign w:val="center"/>
                </w:tcPr>
                <w:p w14:paraId="202D98F8">
                  <w:pPr>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现有排放量</w:t>
                  </w:r>
                </w:p>
              </w:tc>
              <w:tc>
                <w:tcPr>
                  <w:tcW w:w="1848" w:type="dxa"/>
                  <w:tcBorders>
                    <w:tl2br w:val="nil"/>
                    <w:tr2bl w:val="nil"/>
                  </w:tcBorders>
                  <w:noWrap w:val="0"/>
                  <w:vAlign w:val="center"/>
                </w:tcPr>
                <w:p w14:paraId="3A975FE5">
                  <w:pPr>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本项目新增排放量</w:t>
                  </w:r>
                </w:p>
              </w:tc>
              <w:tc>
                <w:tcPr>
                  <w:tcW w:w="1260" w:type="dxa"/>
                  <w:tcBorders>
                    <w:tl2br w:val="nil"/>
                    <w:tr2bl w:val="nil"/>
                  </w:tcBorders>
                  <w:noWrap w:val="0"/>
                  <w:vAlign w:val="center"/>
                </w:tcPr>
                <w:p w14:paraId="131B0104">
                  <w:pPr>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全厂排放量</w:t>
                  </w:r>
                </w:p>
              </w:tc>
              <w:tc>
                <w:tcPr>
                  <w:tcW w:w="1386" w:type="dxa"/>
                  <w:tcBorders>
                    <w:tl2br w:val="nil"/>
                    <w:tr2bl w:val="nil"/>
                  </w:tcBorders>
                  <w:noWrap w:val="0"/>
                  <w:vAlign w:val="center"/>
                </w:tcPr>
                <w:p w14:paraId="0C7A1B36">
                  <w:pPr>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排放增减量</w:t>
                  </w:r>
                </w:p>
              </w:tc>
            </w:tr>
            <w:tr w14:paraId="168AE7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restart"/>
                  <w:tcBorders>
                    <w:tl2br w:val="nil"/>
                    <w:tr2bl w:val="nil"/>
                  </w:tcBorders>
                  <w:noWrap w:val="0"/>
                  <w:vAlign w:val="center"/>
                </w:tcPr>
                <w:p w14:paraId="1F57877C">
                  <w:pPr>
                    <w:spacing w:line="240" w:lineRule="auto"/>
                    <w:ind w:firstLine="0" w:firstLineChars="0"/>
                    <w:jc w:val="center"/>
                    <w:rPr>
                      <w:rFonts w:hint="eastAsia" w:ascii="Times New Roman" w:hAnsi="Times New Roman" w:eastAsia="宋体" w:cs="Times New Roman"/>
                      <w:color w:val="auto"/>
                      <w:sz w:val="21"/>
                      <w:szCs w:val="21"/>
                      <w:lang w:eastAsia="zh-CN"/>
                    </w:rPr>
                  </w:pPr>
                </w:p>
              </w:tc>
              <w:tc>
                <w:tcPr>
                  <w:tcW w:w="602" w:type="dxa"/>
                  <w:vMerge w:val="restart"/>
                  <w:tcBorders>
                    <w:tl2br w:val="nil"/>
                    <w:tr2bl w:val="nil"/>
                  </w:tcBorders>
                  <w:noWrap w:val="0"/>
                  <w:vAlign w:val="center"/>
                </w:tcPr>
                <w:p w14:paraId="085D094B">
                  <w:pPr>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矿井涌水</w:t>
                  </w:r>
                </w:p>
              </w:tc>
              <w:tc>
                <w:tcPr>
                  <w:tcW w:w="1293" w:type="dxa"/>
                  <w:tcBorders>
                    <w:tl2br w:val="nil"/>
                    <w:tr2bl w:val="nil"/>
                  </w:tcBorders>
                  <w:shd w:val="clear" w:color="auto" w:fill="auto"/>
                  <w:noWrap w:val="0"/>
                  <w:vAlign w:val="center"/>
                </w:tcPr>
                <w:p w14:paraId="56D18D52">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排放量</w:t>
                  </w:r>
                </w:p>
              </w:tc>
              <w:tc>
                <w:tcPr>
                  <w:tcW w:w="1273" w:type="dxa"/>
                  <w:tcBorders>
                    <w:tl2br w:val="nil"/>
                    <w:tr2bl w:val="nil"/>
                  </w:tcBorders>
                  <w:noWrap w:val="0"/>
                  <w:vAlign w:val="center"/>
                </w:tcPr>
                <w:p w14:paraId="0D8E780A">
                  <w:pPr>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cs="Times New Roman"/>
                      <w:color w:val="auto"/>
                      <w:sz w:val="21"/>
                      <w:szCs w:val="21"/>
                      <w:lang w:val="en-US" w:eastAsia="zh-CN"/>
                    </w:rPr>
                    <w:t>9052000</w:t>
                  </w:r>
                </w:p>
              </w:tc>
              <w:tc>
                <w:tcPr>
                  <w:tcW w:w="1848" w:type="dxa"/>
                  <w:tcBorders>
                    <w:tl2br w:val="nil"/>
                    <w:tr2bl w:val="nil"/>
                  </w:tcBorders>
                  <w:noWrap w:val="0"/>
                  <w:vAlign w:val="center"/>
                </w:tcPr>
                <w:p w14:paraId="4EEE71B7">
                  <w:pPr>
                    <w:widowControl/>
                    <w:adjustRightInd/>
                    <w:snapToGrid/>
                    <w:spacing w:line="240" w:lineRule="auto"/>
                    <w:ind w:firstLine="0" w:firstLineChars="0"/>
                    <w:jc w:val="center"/>
                    <w:rPr>
                      <w:rFonts w:hint="eastAsia" w:ascii="Times New Roman" w:hAnsi="Times New Roman" w:eastAsia="等线" w:cs="Times New Roman"/>
                      <w:color w:val="auto"/>
                      <w:kern w:val="0"/>
                      <w:sz w:val="21"/>
                      <w:szCs w:val="21"/>
                      <w:lang w:eastAsia="zh-CN"/>
                    </w:rPr>
                  </w:pPr>
                  <w:r>
                    <w:rPr>
                      <w:rFonts w:hint="eastAsia" w:ascii="Times New Roman" w:hAnsi="Times New Roman" w:eastAsia="等线" w:cs="Times New Roman"/>
                      <w:color w:val="auto"/>
                      <w:sz w:val="21"/>
                      <w:szCs w:val="21"/>
                      <w:lang w:val="en-US" w:eastAsia="zh-CN"/>
                    </w:rPr>
                    <w:t>0</w:t>
                  </w:r>
                </w:p>
              </w:tc>
              <w:tc>
                <w:tcPr>
                  <w:tcW w:w="1260" w:type="dxa"/>
                  <w:tcBorders>
                    <w:tl2br w:val="nil"/>
                    <w:tr2bl w:val="nil"/>
                  </w:tcBorders>
                  <w:shd w:val="clear" w:color="auto" w:fill="auto"/>
                  <w:noWrap w:val="0"/>
                  <w:vAlign w:val="center"/>
                </w:tcPr>
                <w:p w14:paraId="0B7DE19B">
                  <w:pPr>
                    <w:spacing w:line="240" w:lineRule="auto"/>
                    <w:ind w:firstLine="0" w:firstLineChars="0"/>
                    <w:jc w:val="center"/>
                    <w:rPr>
                      <w:rFonts w:hint="default" w:ascii="Times New Roman" w:hAnsi="Times New Roman" w:eastAsia="等线"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9052000</w:t>
                  </w:r>
                </w:p>
              </w:tc>
              <w:tc>
                <w:tcPr>
                  <w:tcW w:w="1386" w:type="dxa"/>
                  <w:tcBorders>
                    <w:tl2br w:val="nil"/>
                    <w:tr2bl w:val="nil"/>
                  </w:tcBorders>
                  <w:noWrap w:val="0"/>
                  <w:vAlign w:val="center"/>
                </w:tcPr>
                <w:p w14:paraId="1576BEA8">
                  <w:pPr>
                    <w:widowControl/>
                    <w:adjustRightInd/>
                    <w:snapToGrid/>
                    <w:spacing w:line="240" w:lineRule="auto"/>
                    <w:ind w:firstLine="0" w:firstLineChars="0"/>
                    <w:jc w:val="center"/>
                    <w:rPr>
                      <w:rFonts w:hint="eastAsia" w:ascii="Times New Roman" w:hAnsi="Times New Roman" w:eastAsia="等线" w:cs="Times New Roman"/>
                      <w:color w:val="auto"/>
                      <w:kern w:val="0"/>
                      <w:sz w:val="21"/>
                      <w:szCs w:val="21"/>
                      <w:lang w:val="en-US" w:eastAsia="zh-CN"/>
                    </w:rPr>
                  </w:pPr>
                  <w:r>
                    <w:rPr>
                      <w:rFonts w:hint="eastAsia" w:ascii="Times New Roman" w:hAnsi="Times New Roman" w:eastAsia="等线" w:cs="Times New Roman"/>
                      <w:color w:val="auto"/>
                      <w:sz w:val="21"/>
                      <w:szCs w:val="21"/>
                      <w:lang w:val="en-US" w:eastAsia="zh-CN"/>
                    </w:rPr>
                    <w:t>0</w:t>
                  </w:r>
                </w:p>
              </w:tc>
            </w:tr>
            <w:tr w14:paraId="09E49D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continue"/>
                  <w:tcBorders>
                    <w:tl2br w:val="nil"/>
                    <w:tr2bl w:val="nil"/>
                  </w:tcBorders>
                  <w:noWrap w:val="0"/>
                  <w:vAlign w:val="center"/>
                </w:tcPr>
                <w:p w14:paraId="7F078E98">
                  <w:pPr>
                    <w:spacing w:line="240" w:lineRule="auto"/>
                    <w:ind w:firstLine="0" w:firstLineChars="0"/>
                    <w:jc w:val="center"/>
                    <w:rPr>
                      <w:rFonts w:hint="default" w:ascii="Times New Roman" w:hAnsi="Times New Roman" w:cs="Times New Roman"/>
                      <w:color w:val="auto"/>
                      <w:sz w:val="21"/>
                      <w:szCs w:val="21"/>
                    </w:rPr>
                  </w:pPr>
                </w:p>
              </w:tc>
              <w:tc>
                <w:tcPr>
                  <w:tcW w:w="602" w:type="dxa"/>
                  <w:vMerge w:val="continue"/>
                  <w:tcBorders>
                    <w:tl2br w:val="nil"/>
                    <w:tr2bl w:val="nil"/>
                  </w:tcBorders>
                  <w:noWrap w:val="0"/>
                  <w:vAlign w:val="center"/>
                </w:tcPr>
                <w:p w14:paraId="457D2921">
                  <w:pPr>
                    <w:spacing w:line="240" w:lineRule="auto"/>
                    <w:ind w:firstLine="0" w:firstLineChars="0"/>
                    <w:jc w:val="center"/>
                    <w:rPr>
                      <w:rFonts w:hint="default" w:ascii="Times New Roman" w:hAnsi="Times New Roman" w:cs="Times New Roman"/>
                      <w:color w:val="auto"/>
                      <w:sz w:val="21"/>
                      <w:szCs w:val="21"/>
                    </w:rPr>
                  </w:pPr>
                </w:p>
              </w:tc>
              <w:tc>
                <w:tcPr>
                  <w:tcW w:w="1293" w:type="dxa"/>
                  <w:tcBorders>
                    <w:tl2br w:val="nil"/>
                    <w:tr2bl w:val="nil"/>
                  </w:tcBorders>
                  <w:shd w:val="clear" w:color="auto" w:fill="auto"/>
                  <w:noWrap w:val="0"/>
                  <w:vAlign w:val="center"/>
                </w:tcPr>
                <w:p w14:paraId="05084ACB">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COD</w:t>
                  </w:r>
                </w:p>
              </w:tc>
              <w:tc>
                <w:tcPr>
                  <w:tcW w:w="1273" w:type="dxa"/>
                  <w:tcBorders>
                    <w:tl2br w:val="nil"/>
                    <w:tr2bl w:val="nil"/>
                  </w:tcBorders>
                  <w:noWrap w:val="0"/>
                  <w:vAlign w:val="center"/>
                </w:tcPr>
                <w:p w14:paraId="491C98B3">
                  <w:pPr>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4.31</w:t>
                  </w:r>
                </w:p>
              </w:tc>
              <w:tc>
                <w:tcPr>
                  <w:tcW w:w="1848" w:type="dxa"/>
                  <w:tcBorders>
                    <w:tl2br w:val="nil"/>
                    <w:tr2bl w:val="nil"/>
                  </w:tcBorders>
                  <w:noWrap w:val="0"/>
                  <w:vAlign w:val="center"/>
                </w:tcPr>
                <w:p w14:paraId="1715C4D3">
                  <w:pPr>
                    <w:widowControl/>
                    <w:adjustRightInd/>
                    <w:snapToGrid/>
                    <w:spacing w:line="240" w:lineRule="auto"/>
                    <w:ind w:firstLine="0" w:firstLineChars="0"/>
                    <w:jc w:val="center"/>
                    <w:rPr>
                      <w:rFonts w:hint="default" w:ascii="Times New Roman" w:hAnsi="Times New Roman" w:eastAsia="等线" w:cs="Times New Roman"/>
                      <w:color w:val="auto"/>
                      <w:kern w:val="0"/>
                      <w:sz w:val="21"/>
                      <w:szCs w:val="21"/>
                    </w:rPr>
                  </w:pPr>
                  <w:r>
                    <w:rPr>
                      <w:rFonts w:hint="eastAsia" w:ascii="Times New Roman" w:hAnsi="Times New Roman" w:eastAsia="等线" w:cs="Times New Roman"/>
                      <w:color w:val="auto"/>
                      <w:sz w:val="21"/>
                      <w:szCs w:val="21"/>
                      <w:lang w:val="en-US" w:eastAsia="zh-CN"/>
                    </w:rPr>
                    <w:t>0</w:t>
                  </w:r>
                </w:p>
              </w:tc>
              <w:tc>
                <w:tcPr>
                  <w:tcW w:w="1260" w:type="dxa"/>
                  <w:tcBorders>
                    <w:tl2br w:val="nil"/>
                    <w:tr2bl w:val="nil"/>
                  </w:tcBorders>
                  <w:shd w:val="clear" w:color="auto" w:fill="auto"/>
                  <w:noWrap w:val="0"/>
                  <w:vAlign w:val="center"/>
                </w:tcPr>
                <w:p w14:paraId="1550500F">
                  <w:pPr>
                    <w:spacing w:line="240" w:lineRule="auto"/>
                    <w:ind w:firstLine="0" w:firstLineChars="0"/>
                    <w:jc w:val="center"/>
                    <w:rPr>
                      <w:rFonts w:hint="default" w:ascii="Times New Roman" w:hAnsi="Times New Roman" w:eastAsia="等线" w:cs="Times New Roman"/>
                      <w:color w:val="auto"/>
                      <w:kern w:val="2"/>
                      <w:sz w:val="21"/>
                      <w:szCs w:val="21"/>
                      <w:lang w:val="en-US" w:eastAsia="zh-CN" w:bidi="ar-SA"/>
                    </w:rPr>
                  </w:pPr>
                  <w:r>
                    <w:rPr>
                      <w:rFonts w:hint="eastAsia" w:ascii="Times New Roman" w:hAnsi="Times New Roman" w:eastAsia="等线" w:cs="Times New Roman"/>
                      <w:color w:val="auto"/>
                      <w:sz w:val="21"/>
                      <w:szCs w:val="21"/>
                      <w:lang w:val="en-US" w:eastAsia="zh-CN"/>
                    </w:rPr>
                    <w:t>4.31</w:t>
                  </w:r>
                </w:p>
              </w:tc>
              <w:tc>
                <w:tcPr>
                  <w:tcW w:w="1386" w:type="dxa"/>
                  <w:tcBorders>
                    <w:tl2br w:val="nil"/>
                    <w:tr2bl w:val="nil"/>
                  </w:tcBorders>
                  <w:noWrap w:val="0"/>
                  <w:vAlign w:val="center"/>
                </w:tcPr>
                <w:p w14:paraId="146BC1AE">
                  <w:pPr>
                    <w:widowControl/>
                    <w:adjustRightInd/>
                    <w:snapToGrid/>
                    <w:spacing w:line="240" w:lineRule="auto"/>
                    <w:ind w:firstLine="0" w:firstLineChars="0"/>
                    <w:jc w:val="center"/>
                    <w:rPr>
                      <w:rFonts w:hint="default" w:ascii="Times New Roman" w:hAnsi="Times New Roman" w:eastAsia="等线" w:cs="Times New Roman"/>
                      <w:color w:val="auto"/>
                      <w:kern w:val="0"/>
                      <w:sz w:val="21"/>
                      <w:szCs w:val="21"/>
                    </w:rPr>
                  </w:pPr>
                  <w:r>
                    <w:rPr>
                      <w:rFonts w:hint="eastAsia" w:ascii="Times New Roman" w:hAnsi="Times New Roman" w:eastAsia="等线" w:cs="Times New Roman"/>
                      <w:color w:val="auto"/>
                      <w:sz w:val="21"/>
                      <w:szCs w:val="21"/>
                      <w:lang w:val="en-US" w:eastAsia="zh-CN"/>
                    </w:rPr>
                    <w:t>0</w:t>
                  </w:r>
                </w:p>
              </w:tc>
            </w:tr>
            <w:tr w14:paraId="66A113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continue"/>
                  <w:tcBorders>
                    <w:tl2br w:val="nil"/>
                    <w:tr2bl w:val="nil"/>
                  </w:tcBorders>
                  <w:noWrap w:val="0"/>
                  <w:vAlign w:val="center"/>
                </w:tcPr>
                <w:p w14:paraId="2FF2B916">
                  <w:pPr>
                    <w:spacing w:line="240" w:lineRule="auto"/>
                    <w:ind w:firstLine="0" w:firstLineChars="0"/>
                    <w:jc w:val="center"/>
                    <w:rPr>
                      <w:rFonts w:hint="default" w:ascii="Times New Roman" w:hAnsi="Times New Roman" w:cs="Times New Roman"/>
                      <w:color w:val="auto"/>
                      <w:sz w:val="21"/>
                      <w:szCs w:val="21"/>
                    </w:rPr>
                  </w:pPr>
                </w:p>
              </w:tc>
              <w:tc>
                <w:tcPr>
                  <w:tcW w:w="602" w:type="dxa"/>
                  <w:vMerge w:val="continue"/>
                  <w:tcBorders>
                    <w:tl2br w:val="nil"/>
                    <w:tr2bl w:val="nil"/>
                  </w:tcBorders>
                  <w:noWrap w:val="0"/>
                  <w:vAlign w:val="center"/>
                </w:tcPr>
                <w:p w14:paraId="57E4F112">
                  <w:pPr>
                    <w:spacing w:line="240" w:lineRule="auto"/>
                    <w:ind w:firstLine="0" w:firstLineChars="0"/>
                    <w:jc w:val="center"/>
                    <w:rPr>
                      <w:rFonts w:hint="default" w:ascii="Times New Roman" w:hAnsi="Times New Roman" w:cs="Times New Roman"/>
                      <w:color w:val="auto"/>
                      <w:sz w:val="21"/>
                      <w:szCs w:val="21"/>
                    </w:rPr>
                  </w:pPr>
                </w:p>
              </w:tc>
              <w:tc>
                <w:tcPr>
                  <w:tcW w:w="1293" w:type="dxa"/>
                  <w:tcBorders>
                    <w:tl2br w:val="nil"/>
                    <w:tr2bl w:val="nil"/>
                  </w:tcBorders>
                  <w:shd w:val="clear" w:color="auto" w:fill="auto"/>
                  <w:noWrap w:val="0"/>
                  <w:vAlign w:val="center"/>
                </w:tcPr>
                <w:p w14:paraId="36293676">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氨氮</w:t>
                  </w:r>
                </w:p>
              </w:tc>
              <w:tc>
                <w:tcPr>
                  <w:tcW w:w="1273" w:type="dxa"/>
                  <w:tcBorders>
                    <w:tl2br w:val="nil"/>
                    <w:tr2bl w:val="nil"/>
                  </w:tcBorders>
                  <w:noWrap w:val="0"/>
                  <w:vAlign w:val="center"/>
                </w:tcPr>
                <w:p w14:paraId="4BA3858B">
                  <w:pPr>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0.53</w:t>
                  </w:r>
                </w:p>
              </w:tc>
              <w:tc>
                <w:tcPr>
                  <w:tcW w:w="1848" w:type="dxa"/>
                  <w:tcBorders>
                    <w:tl2br w:val="nil"/>
                    <w:tr2bl w:val="nil"/>
                  </w:tcBorders>
                  <w:noWrap w:val="0"/>
                  <w:vAlign w:val="center"/>
                </w:tcPr>
                <w:p w14:paraId="4DD9C319">
                  <w:pPr>
                    <w:widowControl/>
                    <w:adjustRightInd/>
                    <w:snapToGrid/>
                    <w:spacing w:line="240" w:lineRule="auto"/>
                    <w:ind w:firstLine="0" w:firstLineChars="0"/>
                    <w:jc w:val="center"/>
                    <w:rPr>
                      <w:rFonts w:hint="default" w:ascii="Times New Roman" w:hAnsi="Times New Roman" w:eastAsia="等线" w:cs="Times New Roman"/>
                      <w:color w:val="auto"/>
                      <w:kern w:val="0"/>
                      <w:sz w:val="21"/>
                      <w:szCs w:val="21"/>
                    </w:rPr>
                  </w:pPr>
                  <w:r>
                    <w:rPr>
                      <w:rFonts w:hint="eastAsia" w:ascii="Times New Roman" w:hAnsi="Times New Roman" w:eastAsia="等线" w:cs="Times New Roman"/>
                      <w:color w:val="auto"/>
                      <w:sz w:val="21"/>
                      <w:szCs w:val="21"/>
                      <w:lang w:val="en-US" w:eastAsia="zh-CN"/>
                    </w:rPr>
                    <w:t>0</w:t>
                  </w:r>
                </w:p>
              </w:tc>
              <w:tc>
                <w:tcPr>
                  <w:tcW w:w="1260" w:type="dxa"/>
                  <w:tcBorders>
                    <w:tl2br w:val="nil"/>
                    <w:tr2bl w:val="nil"/>
                  </w:tcBorders>
                  <w:shd w:val="clear" w:color="auto" w:fill="auto"/>
                  <w:noWrap w:val="0"/>
                  <w:vAlign w:val="center"/>
                </w:tcPr>
                <w:p w14:paraId="476B1DB0">
                  <w:pPr>
                    <w:spacing w:line="240" w:lineRule="auto"/>
                    <w:ind w:firstLine="0" w:firstLineChars="0"/>
                    <w:jc w:val="center"/>
                    <w:rPr>
                      <w:rFonts w:hint="default" w:ascii="Times New Roman" w:hAnsi="Times New Roman" w:eastAsia="等线" w:cs="Times New Roman"/>
                      <w:color w:val="auto"/>
                      <w:kern w:val="2"/>
                      <w:sz w:val="21"/>
                      <w:szCs w:val="21"/>
                      <w:lang w:val="en-US" w:eastAsia="zh-CN" w:bidi="ar-SA"/>
                    </w:rPr>
                  </w:pPr>
                  <w:r>
                    <w:rPr>
                      <w:rFonts w:hint="eastAsia" w:ascii="Times New Roman" w:hAnsi="Times New Roman" w:eastAsia="等线" w:cs="Times New Roman"/>
                      <w:color w:val="auto"/>
                      <w:sz w:val="21"/>
                      <w:szCs w:val="21"/>
                      <w:lang w:val="en-US" w:eastAsia="zh-CN"/>
                    </w:rPr>
                    <w:t>0.53</w:t>
                  </w:r>
                </w:p>
              </w:tc>
              <w:tc>
                <w:tcPr>
                  <w:tcW w:w="1386" w:type="dxa"/>
                  <w:tcBorders>
                    <w:tl2br w:val="nil"/>
                    <w:tr2bl w:val="nil"/>
                  </w:tcBorders>
                  <w:noWrap w:val="0"/>
                  <w:vAlign w:val="center"/>
                </w:tcPr>
                <w:p w14:paraId="023EFD3D">
                  <w:pPr>
                    <w:widowControl/>
                    <w:adjustRightInd/>
                    <w:snapToGrid/>
                    <w:spacing w:line="240" w:lineRule="auto"/>
                    <w:ind w:firstLine="0" w:firstLineChars="0"/>
                    <w:jc w:val="center"/>
                    <w:rPr>
                      <w:rFonts w:hint="default" w:ascii="Times New Roman" w:hAnsi="Times New Roman" w:eastAsia="等线" w:cs="Times New Roman"/>
                      <w:color w:val="auto"/>
                      <w:kern w:val="0"/>
                      <w:sz w:val="21"/>
                      <w:szCs w:val="21"/>
                    </w:rPr>
                  </w:pPr>
                  <w:r>
                    <w:rPr>
                      <w:rFonts w:hint="eastAsia" w:ascii="Times New Roman" w:hAnsi="Times New Roman" w:eastAsia="等线" w:cs="Times New Roman"/>
                      <w:color w:val="auto"/>
                      <w:sz w:val="21"/>
                      <w:szCs w:val="21"/>
                      <w:lang w:val="en-US" w:eastAsia="zh-CN"/>
                    </w:rPr>
                    <w:t>0</w:t>
                  </w:r>
                </w:p>
              </w:tc>
            </w:tr>
            <w:tr w14:paraId="168E65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continue"/>
                  <w:tcBorders>
                    <w:tl2br w:val="nil"/>
                    <w:tr2bl w:val="nil"/>
                  </w:tcBorders>
                  <w:noWrap w:val="0"/>
                  <w:vAlign w:val="center"/>
                </w:tcPr>
                <w:p w14:paraId="69EEAE9F">
                  <w:pPr>
                    <w:spacing w:line="240" w:lineRule="auto"/>
                    <w:ind w:firstLine="0" w:firstLineChars="0"/>
                    <w:jc w:val="center"/>
                    <w:rPr>
                      <w:rFonts w:hint="default" w:ascii="Times New Roman" w:hAnsi="Times New Roman" w:cs="Times New Roman"/>
                      <w:color w:val="auto"/>
                      <w:sz w:val="21"/>
                      <w:szCs w:val="21"/>
                    </w:rPr>
                  </w:pPr>
                </w:p>
              </w:tc>
              <w:tc>
                <w:tcPr>
                  <w:tcW w:w="602" w:type="dxa"/>
                  <w:tcBorders>
                    <w:tl2br w:val="nil"/>
                    <w:tr2bl w:val="nil"/>
                  </w:tcBorders>
                  <w:shd w:val="clear" w:color="auto" w:fill="auto"/>
                  <w:noWrap w:val="0"/>
                  <w:vAlign w:val="center"/>
                </w:tcPr>
                <w:p w14:paraId="376D6B0D">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eastAsia="zh-CN"/>
                    </w:rPr>
                    <w:t>生活污水</w:t>
                  </w:r>
                </w:p>
              </w:tc>
              <w:tc>
                <w:tcPr>
                  <w:tcW w:w="1293" w:type="dxa"/>
                  <w:tcBorders>
                    <w:tl2br w:val="nil"/>
                    <w:tr2bl w:val="nil"/>
                  </w:tcBorders>
                  <w:shd w:val="clear" w:color="auto" w:fill="auto"/>
                  <w:noWrap w:val="0"/>
                  <w:vAlign w:val="center"/>
                </w:tcPr>
                <w:p w14:paraId="04C9062D">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排放量</w:t>
                  </w:r>
                </w:p>
              </w:tc>
              <w:tc>
                <w:tcPr>
                  <w:tcW w:w="1273" w:type="dxa"/>
                  <w:tcBorders>
                    <w:tl2br w:val="nil"/>
                    <w:tr2bl w:val="nil"/>
                  </w:tcBorders>
                  <w:noWrap w:val="0"/>
                  <w:vAlign w:val="center"/>
                </w:tcPr>
                <w:p w14:paraId="7BF1E788">
                  <w:pPr>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201680</w:t>
                  </w:r>
                </w:p>
              </w:tc>
              <w:tc>
                <w:tcPr>
                  <w:tcW w:w="1848" w:type="dxa"/>
                  <w:tcBorders>
                    <w:tl2br w:val="nil"/>
                    <w:tr2bl w:val="nil"/>
                  </w:tcBorders>
                  <w:noWrap w:val="0"/>
                  <w:vAlign w:val="center"/>
                </w:tcPr>
                <w:p w14:paraId="02F1D719">
                  <w:pPr>
                    <w:widowControl/>
                    <w:adjustRightInd/>
                    <w:snapToGrid/>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1314</w:t>
                  </w:r>
                </w:p>
              </w:tc>
              <w:tc>
                <w:tcPr>
                  <w:tcW w:w="1260" w:type="dxa"/>
                  <w:tcBorders>
                    <w:tl2br w:val="nil"/>
                    <w:tr2bl w:val="nil"/>
                  </w:tcBorders>
                  <w:noWrap w:val="0"/>
                  <w:vAlign w:val="center"/>
                </w:tcPr>
                <w:p w14:paraId="015C6CAF">
                  <w:pPr>
                    <w:widowControl/>
                    <w:adjustRightInd/>
                    <w:snapToGrid/>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202994</w:t>
                  </w:r>
                </w:p>
              </w:tc>
              <w:tc>
                <w:tcPr>
                  <w:tcW w:w="1386" w:type="dxa"/>
                  <w:tcBorders>
                    <w:tl2br w:val="nil"/>
                    <w:tr2bl w:val="nil"/>
                  </w:tcBorders>
                  <w:noWrap w:val="0"/>
                  <w:vAlign w:val="center"/>
                </w:tcPr>
                <w:p w14:paraId="731412E6">
                  <w:pPr>
                    <w:widowControl/>
                    <w:adjustRightInd/>
                    <w:snapToGrid/>
                    <w:spacing w:line="240" w:lineRule="auto"/>
                    <w:ind w:firstLine="0" w:firstLineChars="0"/>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等线" w:cs="Times New Roman"/>
                      <w:color w:val="auto"/>
                      <w:sz w:val="21"/>
                      <w:szCs w:val="21"/>
                      <w:lang w:val="en-US" w:eastAsia="zh-CN"/>
                    </w:rPr>
                    <w:t>+1314</w:t>
                  </w:r>
                </w:p>
              </w:tc>
            </w:tr>
            <w:tr w14:paraId="671031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restart"/>
                  <w:tcBorders>
                    <w:tl2br w:val="nil"/>
                    <w:tr2bl w:val="nil"/>
                  </w:tcBorders>
                  <w:noWrap w:val="0"/>
                  <w:vAlign w:val="center"/>
                </w:tcPr>
                <w:p w14:paraId="3708E59C">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固废</w:t>
                  </w:r>
                </w:p>
              </w:tc>
              <w:tc>
                <w:tcPr>
                  <w:tcW w:w="1895" w:type="dxa"/>
                  <w:gridSpan w:val="2"/>
                  <w:tcBorders>
                    <w:tl2br w:val="nil"/>
                    <w:tr2bl w:val="nil"/>
                  </w:tcBorders>
                  <w:noWrap w:val="0"/>
                  <w:vAlign w:val="center"/>
                </w:tcPr>
                <w:p w14:paraId="3B705B16">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矸石</w:t>
                  </w:r>
                </w:p>
              </w:tc>
              <w:tc>
                <w:tcPr>
                  <w:tcW w:w="1273" w:type="dxa"/>
                  <w:tcBorders>
                    <w:tl2br w:val="nil"/>
                    <w:tr2bl w:val="nil"/>
                  </w:tcBorders>
                  <w:noWrap w:val="0"/>
                  <w:vAlign w:val="center"/>
                </w:tcPr>
                <w:p w14:paraId="5B20ABF6">
                  <w:pPr>
                    <w:pStyle w:val="63"/>
                    <w:kinsoku/>
                    <w:autoSpaceDE/>
                    <w:autoSpaceDN/>
                    <w:adjustRightInd w:val="0"/>
                    <w:snapToGrid w:val="0"/>
                    <w:spacing w:before="0" w:beforeAutospacing="0" w:after="0" w:afterAutospacing="0" w:line="240" w:lineRule="auto"/>
                    <w:ind w:left="0" w:leftChars="0" w:right="0" w:rightChars="0"/>
                    <w:jc w:val="center"/>
                    <w:rPr>
                      <w:rFonts w:hint="eastAsia" w:ascii="Times New Roman" w:hAnsi="Times New Roman" w:eastAsia="等线"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3000</w:t>
                  </w:r>
                </w:p>
              </w:tc>
              <w:tc>
                <w:tcPr>
                  <w:tcW w:w="1848" w:type="dxa"/>
                  <w:tcBorders>
                    <w:tl2br w:val="nil"/>
                    <w:tr2bl w:val="nil"/>
                  </w:tcBorders>
                  <w:noWrap w:val="0"/>
                  <w:vAlign w:val="center"/>
                </w:tcPr>
                <w:p w14:paraId="65DC493E">
                  <w:pPr>
                    <w:adjustRightInd w:val="0"/>
                    <w:snapToGrid w:val="0"/>
                    <w:spacing w:line="240" w:lineRule="auto"/>
                    <w:ind w:firstLine="0" w:firstLineChars="0"/>
                    <w:contextualSpacing/>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0</w:t>
                  </w:r>
                </w:p>
              </w:tc>
              <w:tc>
                <w:tcPr>
                  <w:tcW w:w="1260" w:type="dxa"/>
                  <w:tcBorders>
                    <w:tl2br w:val="nil"/>
                    <w:tr2bl w:val="nil"/>
                  </w:tcBorders>
                  <w:shd w:val="clear" w:color="auto" w:fill="auto"/>
                  <w:noWrap w:val="0"/>
                  <w:vAlign w:val="center"/>
                </w:tcPr>
                <w:p w14:paraId="59BD42AB">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等线" w:cs="Times New Roman"/>
                      <w:color w:val="auto"/>
                      <w:kern w:val="0"/>
                      <w:sz w:val="21"/>
                      <w:szCs w:val="21"/>
                      <w:lang w:val="en-US" w:eastAsia="zh-CN" w:bidi="ar-SA"/>
                    </w:rPr>
                  </w:pPr>
                  <w:r>
                    <w:rPr>
                      <w:rFonts w:hint="eastAsia" w:ascii="Times New Roman" w:hAnsi="Times New Roman" w:eastAsia="宋体" w:cs="Times New Roman"/>
                      <w:color w:val="auto"/>
                      <w:sz w:val="21"/>
                      <w:szCs w:val="21"/>
                      <w:lang w:val="en-US" w:eastAsia="zh-CN"/>
                    </w:rPr>
                    <w:t>3000</w:t>
                  </w:r>
                </w:p>
              </w:tc>
              <w:tc>
                <w:tcPr>
                  <w:tcW w:w="1386" w:type="dxa"/>
                  <w:tcBorders>
                    <w:tl2br w:val="nil"/>
                    <w:tr2bl w:val="nil"/>
                  </w:tcBorders>
                  <w:shd w:val="clear" w:color="auto" w:fill="auto"/>
                  <w:noWrap w:val="0"/>
                  <w:vAlign w:val="center"/>
                </w:tcPr>
                <w:p w14:paraId="3507E3D6">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等线" w:cs="Times New Roman"/>
                      <w:color w:val="auto"/>
                      <w:kern w:val="0"/>
                      <w:sz w:val="21"/>
                      <w:szCs w:val="21"/>
                      <w:lang w:val="en-US" w:eastAsia="zh-CN" w:bidi="ar-SA"/>
                    </w:rPr>
                  </w:pPr>
                  <w:r>
                    <w:rPr>
                      <w:rFonts w:hint="eastAsia" w:ascii="Times New Roman" w:hAnsi="Times New Roman" w:eastAsia="等线" w:cs="Times New Roman"/>
                      <w:color w:val="auto"/>
                      <w:kern w:val="0"/>
                      <w:sz w:val="21"/>
                      <w:szCs w:val="21"/>
                      <w:lang w:val="en-US" w:eastAsia="zh-CN" w:bidi="ar-SA"/>
                    </w:rPr>
                    <w:t>0</w:t>
                  </w:r>
                </w:p>
              </w:tc>
            </w:tr>
            <w:tr w14:paraId="0F66D2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continue"/>
                  <w:tcBorders>
                    <w:tl2br w:val="nil"/>
                    <w:tr2bl w:val="nil"/>
                  </w:tcBorders>
                  <w:noWrap w:val="0"/>
                  <w:vAlign w:val="center"/>
                </w:tcPr>
                <w:p w14:paraId="7E7A18B7">
                  <w:pPr>
                    <w:spacing w:line="240" w:lineRule="auto"/>
                    <w:ind w:firstLine="0" w:firstLineChars="0"/>
                    <w:jc w:val="center"/>
                    <w:rPr>
                      <w:rFonts w:hint="default" w:ascii="Times New Roman" w:hAnsi="Times New Roman" w:cs="Times New Roman"/>
                      <w:color w:val="auto"/>
                      <w:sz w:val="21"/>
                      <w:szCs w:val="21"/>
                    </w:rPr>
                  </w:pPr>
                </w:p>
              </w:tc>
              <w:tc>
                <w:tcPr>
                  <w:tcW w:w="1895" w:type="dxa"/>
                  <w:gridSpan w:val="2"/>
                  <w:tcBorders>
                    <w:tl2br w:val="nil"/>
                    <w:tr2bl w:val="nil"/>
                  </w:tcBorders>
                  <w:noWrap w:val="0"/>
                  <w:vAlign w:val="center"/>
                </w:tcPr>
                <w:p w14:paraId="4DA68184">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污泥</w:t>
                  </w:r>
                </w:p>
              </w:tc>
              <w:tc>
                <w:tcPr>
                  <w:tcW w:w="1273" w:type="dxa"/>
                  <w:tcBorders>
                    <w:tl2br w:val="nil"/>
                    <w:tr2bl w:val="nil"/>
                  </w:tcBorders>
                  <w:noWrap w:val="0"/>
                  <w:vAlign w:val="center"/>
                </w:tcPr>
                <w:p w14:paraId="1F61B368">
                  <w:pPr>
                    <w:pStyle w:val="63"/>
                    <w:kinsoku/>
                    <w:autoSpaceDE/>
                    <w:autoSpaceDN/>
                    <w:adjustRightInd w:val="0"/>
                    <w:snapToGrid w:val="0"/>
                    <w:spacing w:before="0" w:beforeAutospacing="0" w:after="0" w:afterAutospacing="0" w:line="240" w:lineRule="auto"/>
                    <w:ind w:left="0" w:leftChars="0" w:right="0" w:rightChars="0"/>
                    <w:jc w:val="center"/>
                    <w:rPr>
                      <w:rFonts w:hint="eastAsia" w:ascii="Times New Roman" w:hAnsi="Times New Roman" w:eastAsia="等线"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1800</w:t>
                  </w:r>
                </w:p>
              </w:tc>
              <w:tc>
                <w:tcPr>
                  <w:tcW w:w="1848" w:type="dxa"/>
                  <w:tcBorders>
                    <w:tl2br w:val="nil"/>
                    <w:tr2bl w:val="nil"/>
                  </w:tcBorders>
                  <w:noWrap w:val="0"/>
                  <w:vAlign w:val="center"/>
                </w:tcPr>
                <w:p w14:paraId="0F9C69C5">
                  <w:pPr>
                    <w:adjustRightInd w:val="0"/>
                    <w:snapToGrid w:val="0"/>
                    <w:spacing w:line="240" w:lineRule="auto"/>
                    <w:ind w:firstLine="0" w:firstLineChars="0"/>
                    <w:contextualSpacing/>
                    <w:jc w:val="center"/>
                    <w:rPr>
                      <w:rFonts w:hint="default" w:ascii="Times New Roman" w:hAnsi="Times New Roman" w:eastAsia="宋体" w:cs="Times New Roman"/>
                      <w:color w:val="auto"/>
                      <w:kern w:val="0"/>
                      <w:sz w:val="21"/>
                      <w:szCs w:val="21"/>
                      <w:lang w:val="en-US" w:eastAsia="zh-CN" w:bidi="ar-SA"/>
                    </w:rPr>
                  </w:pPr>
                  <w:r>
                    <w:rPr>
                      <w:rFonts w:ascii="Times New Roman" w:hAnsi="Times New Roman" w:eastAsia="宋体" w:cs="Times New Roman"/>
                      <w:color w:val="auto"/>
                      <w:kern w:val="0"/>
                      <w:sz w:val="21"/>
                      <w:szCs w:val="21"/>
                    </w:rPr>
                    <w:t>0</w:t>
                  </w:r>
                </w:p>
              </w:tc>
              <w:tc>
                <w:tcPr>
                  <w:tcW w:w="1260" w:type="dxa"/>
                  <w:tcBorders>
                    <w:tl2br w:val="nil"/>
                    <w:tr2bl w:val="nil"/>
                  </w:tcBorders>
                  <w:shd w:val="clear" w:color="auto" w:fill="auto"/>
                  <w:noWrap w:val="0"/>
                  <w:vAlign w:val="center"/>
                </w:tcPr>
                <w:p w14:paraId="4E87ED65">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等线" w:cs="Times New Roman"/>
                      <w:color w:val="auto"/>
                      <w:kern w:val="0"/>
                      <w:sz w:val="21"/>
                      <w:szCs w:val="21"/>
                      <w:lang w:val="en-US" w:eastAsia="zh-CN" w:bidi="ar-SA"/>
                    </w:rPr>
                  </w:pPr>
                  <w:r>
                    <w:rPr>
                      <w:rFonts w:hint="eastAsia" w:ascii="Times New Roman" w:hAnsi="Times New Roman" w:eastAsia="宋体" w:cs="Times New Roman"/>
                      <w:color w:val="auto"/>
                      <w:sz w:val="21"/>
                      <w:szCs w:val="21"/>
                      <w:lang w:val="en-US" w:eastAsia="zh-CN"/>
                    </w:rPr>
                    <w:t>1800</w:t>
                  </w:r>
                </w:p>
              </w:tc>
              <w:tc>
                <w:tcPr>
                  <w:tcW w:w="1386" w:type="dxa"/>
                  <w:tcBorders>
                    <w:tl2br w:val="nil"/>
                    <w:tr2bl w:val="nil"/>
                  </w:tcBorders>
                  <w:shd w:val="clear" w:color="auto" w:fill="auto"/>
                  <w:noWrap w:val="0"/>
                  <w:vAlign w:val="center"/>
                </w:tcPr>
                <w:p w14:paraId="04BBD7B5">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eastAsia="等线" w:cs="Times New Roman"/>
                      <w:color w:val="auto"/>
                      <w:kern w:val="0"/>
                      <w:sz w:val="21"/>
                      <w:szCs w:val="21"/>
                      <w:lang w:val="en-US" w:eastAsia="zh-CN" w:bidi="ar-SA"/>
                    </w:rPr>
                  </w:pPr>
                  <w:r>
                    <w:rPr>
                      <w:rFonts w:hint="eastAsia" w:ascii="Times New Roman" w:hAnsi="Times New Roman" w:eastAsia="等线" w:cs="Times New Roman"/>
                      <w:color w:val="auto"/>
                      <w:kern w:val="0"/>
                      <w:sz w:val="21"/>
                      <w:szCs w:val="21"/>
                      <w:lang w:val="en-US" w:eastAsia="zh-CN" w:bidi="ar-SA"/>
                    </w:rPr>
                    <w:t>0</w:t>
                  </w:r>
                </w:p>
              </w:tc>
            </w:tr>
            <w:tr w14:paraId="1B7E94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568" w:type="dxa"/>
                  <w:vMerge w:val="continue"/>
                  <w:tcBorders>
                    <w:tl2br w:val="nil"/>
                    <w:tr2bl w:val="nil"/>
                  </w:tcBorders>
                  <w:noWrap w:val="0"/>
                  <w:vAlign w:val="center"/>
                </w:tcPr>
                <w:p w14:paraId="0A6CF9EF">
                  <w:pPr>
                    <w:spacing w:line="240" w:lineRule="auto"/>
                    <w:ind w:firstLine="0" w:firstLineChars="0"/>
                    <w:jc w:val="center"/>
                    <w:rPr>
                      <w:rFonts w:hint="default" w:ascii="Times New Roman" w:hAnsi="Times New Roman" w:cs="Times New Roman"/>
                      <w:color w:val="auto"/>
                      <w:sz w:val="21"/>
                      <w:szCs w:val="21"/>
                    </w:rPr>
                  </w:pPr>
                </w:p>
              </w:tc>
              <w:tc>
                <w:tcPr>
                  <w:tcW w:w="1895" w:type="dxa"/>
                  <w:gridSpan w:val="2"/>
                  <w:tcBorders>
                    <w:tl2br w:val="nil"/>
                    <w:tr2bl w:val="nil"/>
                  </w:tcBorders>
                  <w:noWrap w:val="0"/>
                  <w:vAlign w:val="center"/>
                </w:tcPr>
                <w:p w14:paraId="2046F3D9">
                  <w:pPr>
                    <w:pStyle w:val="63"/>
                    <w:kinsoku/>
                    <w:autoSpaceDE/>
                    <w:autoSpaceDN/>
                    <w:adjustRightInd w:val="0"/>
                    <w:snapToGrid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生活垃圾</w:t>
                  </w:r>
                </w:p>
              </w:tc>
              <w:tc>
                <w:tcPr>
                  <w:tcW w:w="1273" w:type="dxa"/>
                  <w:tcBorders>
                    <w:tl2br w:val="nil"/>
                    <w:tr2bl w:val="nil"/>
                  </w:tcBorders>
                  <w:noWrap w:val="0"/>
                  <w:vAlign w:val="center"/>
                </w:tcPr>
                <w:p w14:paraId="7B67EFE4">
                  <w:pPr>
                    <w:pStyle w:val="63"/>
                    <w:kinsoku/>
                    <w:autoSpaceDE/>
                    <w:autoSpaceDN/>
                    <w:adjustRightInd w:val="0"/>
                    <w:snapToGrid w:val="0"/>
                    <w:spacing w:before="0" w:beforeAutospacing="0" w:after="0" w:afterAutospacing="0" w:line="240" w:lineRule="auto"/>
                    <w:ind w:left="0" w:leftChars="0" w:right="0" w:rightChars="0"/>
                    <w:jc w:val="center"/>
                    <w:rPr>
                      <w:rFonts w:hint="eastAsia" w:ascii="Times New Roman" w:hAnsi="Times New Roman" w:eastAsia="等线"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108.57</w:t>
                  </w:r>
                </w:p>
              </w:tc>
              <w:tc>
                <w:tcPr>
                  <w:tcW w:w="1848" w:type="dxa"/>
                  <w:tcBorders>
                    <w:tl2br w:val="nil"/>
                    <w:tr2bl w:val="nil"/>
                  </w:tcBorders>
                  <w:noWrap w:val="0"/>
                  <w:vAlign w:val="center"/>
                </w:tcPr>
                <w:p w14:paraId="0D510937">
                  <w:pPr>
                    <w:adjustRightInd w:val="0"/>
                    <w:snapToGrid w:val="0"/>
                    <w:spacing w:line="240" w:lineRule="auto"/>
                    <w:ind w:firstLine="0" w:firstLineChars="0"/>
                    <w:contextualSpacing/>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13.6875</w:t>
                  </w:r>
                </w:p>
              </w:tc>
              <w:tc>
                <w:tcPr>
                  <w:tcW w:w="1260" w:type="dxa"/>
                  <w:tcBorders>
                    <w:tl2br w:val="nil"/>
                    <w:tr2bl w:val="nil"/>
                  </w:tcBorders>
                  <w:noWrap w:val="0"/>
                  <w:vAlign w:val="center"/>
                </w:tcPr>
                <w:p w14:paraId="49E3974E">
                  <w:pPr>
                    <w:adjustRightInd w:val="0"/>
                    <w:snapToGrid w:val="0"/>
                    <w:spacing w:line="240" w:lineRule="auto"/>
                    <w:ind w:firstLine="0" w:firstLineChars="0"/>
                    <w:contextualSpacing/>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122.2575</w:t>
                  </w:r>
                </w:p>
              </w:tc>
              <w:tc>
                <w:tcPr>
                  <w:tcW w:w="1386" w:type="dxa"/>
                  <w:tcBorders>
                    <w:tl2br w:val="nil"/>
                    <w:tr2bl w:val="nil"/>
                  </w:tcBorders>
                  <w:noWrap w:val="0"/>
                  <w:vAlign w:val="center"/>
                </w:tcPr>
                <w:p w14:paraId="2A477F4A">
                  <w:pPr>
                    <w:adjustRightInd w:val="0"/>
                    <w:snapToGrid w:val="0"/>
                    <w:spacing w:line="240" w:lineRule="auto"/>
                    <w:ind w:firstLine="0" w:firstLineChars="0"/>
                    <w:contextualSpacing/>
                    <w:jc w:val="center"/>
                    <w:rPr>
                      <w:rFonts w:hint="default" w:ascii="Times New Roman" w:hAnsi="Times New Roman" w:eastAsia="等线" w:cs="Times New Roman"/>
                      <w:color w:val="auto"/>
                      <w:sz w:val="21"/>
                      <w:szCs w:val="21"/>
                      <w:lang w:val="en-US" w:eastAsia="zh-CN"/>
                    </w:rPr>
                  </w:pPr>
                  <w:r>
                    <w:rPr>
                      <w:rFonts w:hint="eastAsia" w:ascii="Times New Roman" w:hAnsi="Times New Roman" w:eastAsia="宋体" w:cs="Times New Roman"/>
                      <w:color w:val="auto"/>
                      <w:kern w:val="0"/>
                      <w:sz w:val="21"/>
                      <w:szCs w:val="21"/>
                      <w:lang w:val="en-US" w:eastAsia="zh-CN"/>
                    </w:rPr>
                    <w:t>+13.6875</w:t>
                  </w:r>
                </w:p>
              </w:tc>
            </w:tr>
          </w:tbl>
          <w:p w14:paraId="4B421D7F">
            <w:pPr>
              <w:spacing w:line="360" w:lineRule="auto"/>
              <w:ind w:firstLine="480"/>
              <w:jc w:val="both"/>
              <w:rPr>
                <w:rFonts w:hint="default" w:ascii="Times New Roman" w:hAnsi="Times New Roman" w:eastAsia="Times New Roman" w:cs="Times New Roman"/>
                <w:color w:val="auto"/>
                <w:sz w:val="24"/>
                <w:szCs w:val="24"/>
                <w:lang w:val="en-US" w:eastAsia="zh-CN"/>
              </w:rPr>
            </w:pPr>
            <w:r>
              <w:rPr>
                <w:rFonts w:hint="eastAsia" w:ascii="Times New Roman" w:hAnsi="Times New Roman" w:eastAsia="Times New Roman" w:cs="Times New Roman"/>
                <w:color w:val="auto"/>
                <w:sz w:val="24"/>
                <w:szCs w:val="24"/>
                <w:lang w:val="en-US" w:eastAsia="zh-CN"/>
              </w:rPr>
              <w:t>5、</w:t>
            </w:r>
            <w:r>
              <w:rPr>
                <w:rFonts w:hint="eastAsia" w:ascii="Times New Roman" w:hAnsi="Times New Roman" w:eastAsia="Times New Roman" w:cs="Times New Roman"/>
                <w:color w:val="auto"/>
                <w:sz w:val="24"/>
                <w:szCs w:val="24"/>
              </w:rPr>
              <w:t>与项目有关的原有环境污染和生态破坏问题</w:t>
            </w:r>
          </w:p>
          <w:p w14:paraId="396BB252">
            <w:pPr>
              <w:spacing w:line="360" w:lineRule="auto"/>
              <w:ind w:firstLine="480"/>
              <w:jc w:val="both"/>
              <w:rPr>
                <w:rFonts w:hint="default" w:eastAsia="宋体"/>
                <w:color w:val="auto"/>
                <w:sz w:val="24"/>
                <w:lang w:val="en-US" w:eastAsia="zh-CN"/>
              </w:rPr>
            </w:pPr>
            <w:r>
              <w:rPr>
                <w:rFonts w:hint="eastAsia" w:ascii="Times New Roman" w:hAnsi="Times New Roman" w:eastAsia="Times New Roman" w:cs="Times New Roman"/>
                <w:color w:val="auto"/>
                <w:sz w:val="24"/>
                <w:szCs w:val="24"/>
                <w:lang w:val="en-US" w:eastAsia="zh-CN"/>
              </w:rPr>
              <w:t>根据现场踏勘，本项目不存在原有环境污染和生态破坏问题。</w:t>
            </w:r>
          </w:p>
        </w:tc>
      </w:tr>
      <w:tr w14:paraId="7AB36841">
        <w:tblPrEx>
          <w:tblBorders>
            <w:top w:val="single" w:color="000000" w:sz="8" w:space="0"/>
            <w:left w:val="single" w:color="000000" w:sz="8" w:space="0"/>
            <w:bottom w:val="single" w:color="000000" w:sz="4" w:space="0"/>
            <w:right w:val="single" w:color="000000" w:sz="8" w:space="0"/>
            <w:insideH w:val="single" w:color="000000" w:sz="8" w:space="0"/>
            <w:insideV w:val="single" w:color="000000" w:sz="4" w:space="0"/>
          </w:tblBorders>
          <w:tblCellMar>
            <w:top w:w="0" w:type="dxa"/>
            <w:left w:w="108" w:type="dxa"/>
            <w:bottom w:w="0" w:type="dxa"/>
            <w:right w:w="108" w:type="dxa"/>
          </w:tblCellMar>
        </w:tblPrEx>
        <w:trPr>
          <w:trHeight w:val="758" w:hRule="atLeast"/>
          <w:jc w:val="center"/>
        </w:trPr>
        <w:tc>
          <w:tcPr>
            <w:tcW w:w="456" w:type="dxa"/>
            <w:tcBorders>
              <w:tl2br w:val="nil"/>
              <w:tr2bl w:val="nil"/>
            </w:tcBorders>
            <w:vAlign w:val="center"/>
          </w:tcPr>
          <w:p w14:paraId="6BC0A092">
            <w:pPr>
              <w:spacing w:line="360" w:lineRule="auto"/>
              <w:jc w:val="center"/>
              <w:rPr>
                <w:rFonts w:eastAsia="Times New Roman"/>
                <w:color w:val="auto"/>
                <w:sz w:val="24"/>
              </w:rPr>
            </w:pPr>
            <w:r>
              <w:rPr>
                <w:rFonts w:eastAsia="Times New Roman"/>
                <w:color w:val="auto"/>
                <w:sz w:val="24"/>
              </w:rPr>
              <w:t>生态环境保护目标</w:t>
            </w:r>
          </w:p>
        </w:tc>
        <w:tc>
          <w:tcPr>
            <w:tcW w:w="8446" w:type="dxa"/>
            <w:tcBorders>
              <w:tl2br w:val="nil"/>
              <w:tr2bl w:val="nil"/>
            </w:tcBorders>
            <w:vAlign w:val="top"/>
          </w:tcPr>
          <w:p w14:paraId="3A98EF91">
            <w:pPr>
              <w:spacing w:line="360" w:lineRule="auto"/>
              <w:ind w:firstLine="480"/>
              <w:jc w:val="both"/>
              <w:rPr>
                <w:rFonts w:eastAsia="Times New Roman"/>
                <w:color w:val="auto"/>
                <w:sz w:val="24"/>
                <w:szCs w:val="24"/>
              </w:rPr>
            </w:pPr>
            <w:r>
              <w:rPr>
                <w:rFonts w:eastAsia="Times New Roman"/>
                <w:color w:val="auto"/>
                <w:sz w:val="24"/>
                <w:szCs w:val="24"/>
              </w:rPr>
              <w:t>根据现场勘察，评价区域内没有重点文物、珍稀动植物资源等重点保护目标</w:t>
            </w:r>
            <w:r>
              <w:rPr>
                <w:rFonts w:hint="eastAsia" w:eastAsia="Times New Roman"/>
                <w:color w:val="auto"/>
                <w:sz w:val="24"/>
                <w:szCs w:val="24"/>
              </w:rPr>
              <w:t>，</w:t>
            </w:r>
            <w:r>
              <w:rPr>
                <w:rFonts w:hint="eastAsia" w:eastAsia="宋体"/>
                <w:color w:val="auto"/>
                <w:sz w:val="24"/>
                <w:szCs w:val="24"/>
                <w:lang w:eastAsia="zh-CN"/>
              </w:rPr>
              <w:t>项目占地位于</w:t>
            </w:r>
            <w:r>
              <w:rPr>
                <w:rFonts w:hint="eastAsia" w:ascii="Times New Roman" w:hAnsi="Times New Roman" w:eastAsia="Times New Roman" w:cs="Times New Roman"/>
                <w:color w:val="auto"/>
                <w:sz w:val="24"/>
              </w:rPr>
              <w:t>内蒙古自治区呼伦贝尔市鄂温克族自治旗</w:t>
            </w:r>
            <w:r>
              <w:rPr>
                <w:rFonts w:hint="eastAsia" w:eastAsia="Times New Roman"/>
                <w:color w:val="auto"/>
                <w:sz w:val="24"/>
                <w:szCs w:val="24"/>
                <w:lang w:val="en-US" w:eastAsia="zh-CN"/>
              </w:rPr>
              <w:t>锡尼河东苏木敏东一矿工业场地内</w:t>
            </w:r>
            <w:r>
              <w:rPr>
                <w:rFonts w:hint="eastAsia" w:ascii="Times New Roman" w:hAnsi="Times New Roman" w:eastAsia="宋体" w:cs="Times New Roman"/>
                <w:color w:val="auto"/>
                <w:sz w:val="24"/>
                <w:szCs w:val="24"/>
                <w:lang w:val="en-US" w:eastAsia="zh-CN"/>
              </w:rPr>
              <w:t>。</w:t>
            </w:r>
            <w:r>
              <w:rPr>
                <w:rFonts w:eastAsia="Times New Roman"/>
                <w:color w:val="auto"/>
                <w:sz w:val="24"/>
                <w:szCs w:val="24"/>
              </w:rPr>
              <w:t>根据项目性质及周围环境特征，本次评价区域的主要环境保护对象为周边居民区。通过现场调查</w:t>
            </w:r>
            <w:r>
              <w:rPr>
                <w:rFonts w:hint="eastAsia" w:eastAsia="Times New Roman"/>
                <w:color w:val="auto"/>
                <w:sz w:val="24"/>
                <w:szCs w:val="24"/>
              </w:rPr>
              <w:t>，</w:t>
            </w:r>
            <w:r>
              <w:rPr>
                <w:rFonts w:hint="eastAsia" w:eastAsia="宋体"/>
                <w:color w:val="auto"/>
                <w:sz w:val="24"/>
                <w:szCs w:val="24"/>
                <w:lang w:eastAsia="zh-CN"/>
              </w:rPr>
              <w:t>场区</w:t>
            </w:r>
            <w:r>
              <w:rPr>
                <w:rFonts w:hint="eastAsia" w:eastAsia="Times New Roman"/>
                <w:color w:val="auto"/>
                <w:sz w:val="24"/>
                <w:szCs w:val="24"/>
              </w:rPr>
              <w:t>500m范围内</w:t>
            </w:r>
            <w:r>
              <w:rPr>
                <w:rFonts w:eastAsia="Times New Roman"/>
                <w:color w:val="auto"/>
                <w:sz w:val="24"/>
                <w:szCs w:val="24"/>
              </w:rPr>
              <w:t>无居民区。本项目的主要环境保护目标见下表。</w:t>
            </w:r>
          </w:p>
          <w:p w14:paraId="427B3D4B">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表3-</w:t>
            </w:r>
            <w:r>
              <w:rPr>
                <w:rFonts w:hint="eastAsia" w:cs="Times New Roman"/>
                <w:b/>
                <w:bCs/>
                <w:color w:val="auto"/>
                <w:szCs w:val="21"/>
                <w:lang w:val="en-US" w:eastAsia="zh-CN"/>
              </w:rPr>
              <w:t>13</w:t>
            </w:r>
            <w:r>
              <w:rPr>
                <w:rFonts w:hint="eastAsia" w:ascii="Times New Roman" w:hAnsi="Times New Roman" w:eastAsia="宋体" w:cs="Times New Roman"/>
                <w:b/>
                <w:bCs/>
                <w:color w:val="auto"/>
                <w:szCs w:val="21"/>
                <w:lang w:val="en-US" w:eastAsia="zh-CN"/>
              </w:rPr>
              <w:t xml:space="preserve">    建设项目环境保护目标表</w:t>
            </w:r>
          </w:p>
          <w:tbl>
            <w:tblPr>
              <w:tblStyle w:val="19"/>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1262"/>
              <w:gridCol w:w="1334"/>
              <w:gridCol w:w="1252"/>
              <w:gridCol w:w="608"/>
              <w:gridCol w:w="1084"/>
              <w:gridCol w:w="689"/>
              <w:gridCol w:w="558"/>
              <w:gridCol w:w="734"/>
            </w:tblGrid>
            <w:tr w14:paraId="390E6E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10" w:type="pct"/>
                  <w:vMerge w:val="restart"/>
                  <w:noWrap w:val="0"/>
                  <w:vAlign w:val="center"/>
                </w:tcPr>
                <w:p w14:paraId="3C991198">
                  <w:pPr>
                    <w:spacing w:line="240" w:lineRule="atLeast"/>
                    <w:jc w:val="center"/>
                    <w:rPr>
                      <w:b/>
                      <w:bCs/>
                      <w:color w:val="auto"/>
                      <w:sz w:val="21"/>
                      <w:szCs w:val="21"/>
                    </w:rPr>
                  </w:pPr>
                  <w:r>
                    <w:rPr>
                      <w:b/>
                      <w:bCs/>
                      <w:color w:val="auto"/>
                      <w:sz w:val="21"/>
                      <w:szCs w:val="21"/>
                    </w:rPr>
                    <w:t>环境要素</w:t>
                  </w:r>
                </w:p>
              </w:tc>
              <w:tc>
                <w:tcPr>
                  <w:tcW w:w="753" w:type="pct"/>
                  <w:vMerge w:val="restart"/>
                  <w:noWrap w:val="0"/>
                  <w:vAlign w:val="center"/>
                </w:tcPr>
                <w:p w14:paraId="5BA368CE">
                  <w:pPr>
                    <w:spacing w:line="240" w:lineRule="atLeast"/>
                    <w:jc w:val="center"/>
                    <w:rPr>
                      <w:b/>
                      <w:bCs/>
                      <w:color w:val="auto"/>
                      <w:sz w:val="21"/>
                      <w:szCs w:val="21"/>
                    </w:rPr>
                  </w:pPr>
                  <w:r>
                    <w:rPr>
                      <w:rFonts w:hint="eastAsia"/>
                      <w:b/>
                      <w:bCs/>
                      <w:color w:val="auto"/>
                      <w:sz w:val="21"/>
                      <w:szCs w:val="21"/>
                    </w:rPr>
                    <w:t>保护目标</w:t>
                  </w:r>
                  <w:r>
                    <w:rPr>
                      <w:b/>
                      <w:bCs/>
                      <w:color w:val="auto"/>
                      <w:sz w:val="21"/>
                      <w:szCs w:val="21"/>
                    </w:rPr>
                    <w:t>名称</w:t>
                  </w:r>
                </w:p>
              </w:tc>
              <w:tc>
                <w:tcPr>
                  <w:tcW w:w="1543" w:type="pct"/>
                  <w:gridSpan w:val="2"/>
                  <w:noWrap w:val="0"/>
                  <w:vAlign w:val="center"/>
                </w:tcPr>
                <w:p w14:paraId="6763E8BF">
                  <w:pPr>
                    <w:spacing w:line="240" w:lineRule="atLeast"/>
                    <w:jc w:val="center"/>
                    <w:rPr>
                      <w:b/>
                      <w:bCs/>
                      <w:color w:val="auto"/>
                      <w:sz w:val="21"/>
                      <w:szCs w:val="21"/>
                    </w:rPr>
                  </w:pPr>
                  <w:r>
                    <w:rPr>
                      <w:b/>
                      <w:bCs/>
                      <w:color w:val="auto"/>
                      <w:sz w:val="21"/>
                      <w:szCs w:val="21"/>
                    </w:rPr>
                    <w:t>坐标</w:t>
                  </w:r>
                </w:p>
              </w:tc>
              <w:tc>
                <w:tcPr>
                  <w:tcW w:w="362" w:type="pct"/>
                  <w:vMerge w:val="restart"/>
                  <w:noWrap w:val="0"/>
                  <w:vAlign w:val="center"/>
                </w:tcPr>
                <w:p w14:paraId="009CF1DF">
                  <w:pPr>
                    <w:spacing w:line="240" w:lineRule="atLeast"/>
                    <w:jc w:val="center"/>
                    <w:rPr>
                      <w:b/>
                      <w:bCs/>
                      <w:color w:val="auto"/>
                      <w:sz w:val="21"/>
                      <w:szCs w:val="21"/>
                    </w:rPr>
                  </w:pPr>
                  <w:r>
                    <w:rPr>
                      <w:b/>
                      <w:bCs/>
                      <w:color w:val="auto"/>
                      <w:sz w:val="21"/>
                      <w:szCs w:val="21"/>
                    </w:rPr>
                    <w:t>保护对象</w:t>
                  </w:r>
                </w:p>
              </w:tc>
              <w:tc>
                <w:tcPr>
                  <w:tcW w:w="647" w:type="pct"/>
                  <w:vMerge w:val="restart"/>
                  <w:noWrap w:val="0"/>
                  <w:vAlign w:val="center"/>
                </w:tcPr>
                <w:p w14:paraId="2022A556">
                  <w:pPr>
                    <w:spacing w:line="240" w:lineRule="atLeast"/>
                    <w:jc w:val="center"/>
                    <w:rPr>
                      <w:b/>
                      <w:bCs/>
                      <w:color w:val="auto"/>
                      <w:sz w:val="21"/>
                      <w:szCs w:val="21"/>
                    </w:rPr>
                  </w:pPr>
                  <w:r>
                    <w:rPr>
                      <w:b/>
                      <w:bCs/>
                      <w:color w:val="auto"/>
                      <w:sz w:val="21"/>
                      <w:szCs w:val="21"/>
                    </w:rPr>
                    <w:t>保护内容</w:t>
                  </w:r>
                </w:p>
              </w:tc>
              <w:tc>
                <w:tcPr>
                  <w:tcW w:w="411" w:type="pct"/>
                  <w:vMerge w:val="restart"/>
                  <w:noWrap w:val="0"/>
                  <w:vAlign w:val="center"/>
                </w:tcPr>
                <w:p w14:paraId="12C9CDBE">
                  <w:pPr>
                    <w:spacing w:line="240" w:lineRule="atLeast"/>
                    <w:jc w:val="center"/>
                    <w:rPr>
                      <w:b/>
                      <w:bCs/>
                      <w:color w:val="auto"/>
                      <w:sz w:val="21"/>
                      <w:szCs w:val="21"/>
                    </w:rPr>
                  </w:pPr>
                  <w:r>
                    <w:rPr>
                      <w:b/>
                      <w:bCs/>
                      <w:color w:val="auto"/>
                      <w:sz w:val="21"/>
                      <w:szCs w:val="21"/>
                    </w:rPr>
                    <w:t>环境功能区</w:t>
                  </w:r>
                </w:p>
              </w:tc>
              <w:tc>
                <w:tcPr>
                  <w:tcW w:w="333" w:type="pct"/>
                  <w:vMerge w:val="restart"/>
                  <w:noWrap w:val="0"/>
                  <w:vAlign w:val="center"/>
                </w:tcPr>
                <w:p w14:paraId="00ADFCB4">
                  <w:pPr>
                    <w:spacing w:line="240" w:lineRule="atLeast"/>
                    <w:jc w:val="center"/>
                    <w:rPr>
                      <w:b/>
                      <w:bCs/>
                      <w:color w:val="auto"/>
                      <w:sz w:val="21"/>
                      <w:szCs w:val="21"/>
                    </w:rPr>
                  </w:pPr>
                  <w:r>
                    <w:rPr>
                      <w:b/>
                      <w:bCs/>
                      <w:color w:val="auto"/>
                      <w:sz w:val="21"/>
                      <w:szCs w:val="21"/>
                    </w:rPr>
                    <w:t>相对方位</w:t>
                  </w:r>
                </w:p>
              </w:tc>
              <w:tc>
                <w:tcPr>
                  <w:tcW w:w="437" w:type="pct"/>
                  <w:vMerge w:val="restart"/>
                  <w:noWrap w:val="0"/>
                  <w:vAlign w:val="center"/>
                </w:tcPr>
                <w:p w14:paraId="395A4186">
                  <w:pPr>
                    <w:spacing w:line="240" w:lineRule="atLeast"/>
                    <w:jc w:val="center"/>
                    <w:rPr>
                      <w:b/>
                      <w:bCs/>
                      <w:color w:val="auto"/>
                      <w:sz w:val="21"/>
                      <w:szCs w:val="21"/>
                    </w:rPr>
                  </w:pPr>
                  <w:r>
                    <w:rPr>
                      <w:b/>
                      <w:bCs/>
                      <w:color w:val="auto"/>
                      <w:sz w:val="21"/>
                      <w:szCs w:val="21"/>
                    </w:rPr>
                    <w:t>相对厂界距离/km</w:t>
                  </w:r>
                </w:p>
              </w:tc>
            </w:tr>
            <w:tr w14:paraId="7E5840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10" w:type="pct"/>
                  <w:vMerge w:val="continue"/>
                  <w:noWrap w:val="0"/>
                  <w:vAlign w:val="center"/>
                </w:tcPr>
                <w:p w14:paraId="79CBB112">
                  <w:pPr>
                    <w:spacing w:line="240" w:lineRule="atLeast"/>
                    <w:jc w:val="center"/>
                    <w:rPr>
                      <w:b/>
                      <w:bCs/>
                      <w:color w:val="auto"/>
                      <w:sz w:val="21"/>
                      <w:szCs w:val="21"/>
                    </w:rPr>
                  </w:pPr>
                </w:p>
              </w:tc>
              <w:tc>
                <w:tcPr>
                  <w:tcW w:w="753" w:type="pct"/>
                  <w:vMerge w:val="continue"/>
                  <w:noWrap w:val="0"/>
                  <w:vAlign w:val="center"/>
                </w:tcPr>
                <w:p w14:paraId="14948B49">
                  <w:pPr>
                    <w:spacing w:line="240" w:lineRule="atLeast"/>
                    <w:jc w:val="center"/>
                    <w:rPr>
                      <w:b/>
                      <w:bCs/>
                      <w:color w:val="auto"/>
                      <w:sz w:val="21"/>
                      <w:szCs w:val="21"/>
                    </w:rPr>
                  </w:pPr>
                </w:p>
              </w:tc>
              <w:tc>
                <w:tcPr>
                  <w:tcW w:w="796" w:type="pct"/>
                  <w:noWrap w:val="0"/>
                  <w:vAlign w:val="center"/>
                </w:tcPr>
                <w:p w14:paraId="0B1F6295">
                  <w:pPr>
                    <w:spacing w:line="240" w:lineRule="atLeast"/>
                    <w:jc w:val="center"/>
                    <w:rPr>
                      <w:b/>
                      <w:bCs/>
                      <w:color w:val="auto"/>
                      <w:sz w:val="21"/>
                      <w:szCs w:val="21"/>
                    </w:rPr>
                  </w:pPr>
                  <w:r>
                    <w:rPr>
                      <w:b/>
                      <w:bCs/>
                      <w:color w:val="auto"/>
                      <w:sz w:val="21"/>
                      <w:szCs w:val="21"/>
                    </w:rPr>
                    <w:t>东经</w:t>
                  </w:r>
                </w:p>
              </w:tc>
              <w:tc>
                <w:tcPr>
                  <w:tcW w:w="747" w:type="pct"/>
                  <w:noWrap w:val="0"/>
                  <w:vAlign w:val="center"/>
                </w:tcPr>
                <w:p w14:paraId="77073E4A">
                  <w:pPr>
                    <w:spacing w:line="240" w:lineRule="atLeast"/>
                    <w:jc w:val="center"/>
                    <w:rPr>
                      <w:b/>
                      <w:bCs/>
                      <w:color w:val="auto"/>
                      <w:sz w:val="21"/>
                      <w:szCs w:val="21"/>
                    </w:rPr>
                  </w:pPr>
                  <w:r>
                    <w:rPr>
                      <w:b/>
                      <w:bCs/>
                      <w:color w:val="auto"/>
                      <w:sz w:val="21"/>
                      <w:szCs w:val="21"/>
                    </w:rPr>
                    <w:t>北纬</w:t>
                  </w:r>
                </w:p>
              </w:tc>
              <w:tc>
                <w:tcPr>
                  <w:tcW w:w="362" w:type="pct"/>
                  <w:vMerge w:val="continue"/>
                  <w:noWrap w:val="0"/>
                  <w:vAlign w:val="center"/>
                </w:tcPr>
                <w:p w14:paraId="028F2AA9">
                  <w:pPr>
                    <w:spacing w:line="240" w:lineRule="atLeast"/>
                    <w:jc w:val="center"/>
                    <w:rPr>
                      <w:b/>
                      <w:bCs/>
                      <w:color w:val="auto"/>
                      <w:sz w:val="21"/>
                      <w:szCs w:val="21"/>
                    </w:rPr>
                  </w:pPr>
                </w:p>
              </w:tc>
              <w:tc>
                <w:tcPr>
                  <w:tcW w:w="647" w:type="pct"/>
                  <w:vMerge w:val="continue"/>
                  <w:noWrap w:val="0"/>
                  <w:vAlign w:val="center"/>
                </w:tcPr>
                <w:p w14:paraId="25CF74F0">
                  <w:pPr>
                    <w:spacing w:line="240" w:lineRule="atLeast"/>
                    <w:jc w:val="center"/>
                    <w:rPr>
                      <w:b/>
                      <w:bCs/>
                      <w:color w:val="auto"/>
                      <w:sz w:val="21"/>
                      <w:szCs w:val="21"/>
                    </w:rPr>
                  </w:pPr>
                </w:p>
              </w:tc>
              <w:tc>
                <w:tcPr>
                  <w:tcW w:w="411" w:type="pct"/>
                  <w:vMerge w:val="continue"/>
                  <w:noWrap w:val="0"/>
                  <w:vAlign w:val="center"/>
                </w:tcPr>
                <w:p w14:paraId="31D26DC5">
                  <w:pPr>
                    <w:spacing w:line="240" w:lineRule="atLeast"/>
                    <w:jc w:val="center"/>
                    <w:rPr>
                      <w:b/>
                      <w:bCs/>
                      <w:color w:val="auto"/>
                      <w:sz w:val="21"/>
                      <w:szCs w:val="21"/>
                    </w:rPr>
                  </w:pPr>
                </w:p>
              </w:tc>
              <w:tc>
                <w:tcPr>
                  <w:tcW w:w="333" w:type="pct"/>
                  <w:vMerge w:val="continue"/>
                  <w:noWrap w:val="0"/>
                  <w:vAlign w:val="center"/>
                </w:tcPr>
                <w:p w14:paraId="08FA1A58">
                  <w:pPr>
                    <w:spacing w:line="240" w:lineRule="atLeast"/>
                    <w:jc w:val="center"/>
                    <w:rPr>
                      <w:b/>
                      <w:bCs/>
                      <w:color w:val="auto"/>
                      <w:sz w:val="21"/>
                      <w:szCs w:val="21"/>
                    </w:rPr>
                  </w:pPr>
                </w:p>
              </w:tc>
              <w:tc>
                <w:tcPr>
                  <w:tcW w:w="437" w:type="pct"/>
                  <w:vMerge w:val="continue"/>
                  <w:noWrap w:val="0"/>
                  <w:vAlign w:val="center"/>
                </w:tcPr>
                <w:p w14:paraId="0775B8AC">
                  <w:pPr>
                    <w:spacing w:line="240" w:lineRule="atLeast"/>
                    <w:jc w:val="center"/>
                    <w:rPr>
                      <w:b/>
                      <w:bCs/>
                      <w:color w:val="auto"/>
                      <w:sz w:val="21"/>
                      <w:szCs w:val="21"/>
                    </w:rPr>
                  </w:pPr>
                </w:p>
              </w:tc>
            </w:tr>
            <w:tr w14:paraId="3F0FE04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510" w:type="pct"/>
                  <w:noWrap w:val="0"/>
                  <w:vAlign w:val="center"/>
                </w:tcPr>
                <w:p w14:paraId="51424F28">
                  <w:pPr>
                    <w:spacing w:line="240" w:lineRule="atLeast"/>
                    <w:jc w:val="center"/>
                    <w:rPr>
                      <w:rFonts w:hint="eastAsia"/>
                      <w:color w:val="auto"/>
                      <w:sz w:val="21"/>
                      <w:szCs w:val="21"/>
                    </w:rPr>
                  </w:pPr>
                  <w:r>
                    <w:rPr>
                      <w:rFonts w:hint="eastAsia"/>
                      <w:color w:val="auto"/>
                      <w:sz w:val="21"/>
                      <w:szCs w:val="21"/>
                    </w:rPr>
                    <w:t>大气环境</w:t>
                  </w:r>
                </w:p>
              </w:tc>
              <w:tc>
                <w:tcPr>
                  <w:tcW w:w="2296" w:type="pct"/>
                  <w:gridSpan w:val="3"/>
                  <w:noWrap w:val="0"/>
                  <w:vAlign w:val="center"/>
                </w:tcPr>
                <w:p w14:paraId="3CFF3925">
                  <w:pPr>
                    <w:spacing w:line="240" w:lineRule="atLeast"/>
                    <w:jc w:val="center"/>
                    <w:rPr>
                      <w:rFonts w:hint="eastAsia"/>
                      <w:color w:val="auto"/>
                      <w:sz w:val="21"/>
                      <w:szCs w:val="21"/>
                      <w:lang w:eastAsia="zh-CN"/>
                    </w:rPr>
                  </w:pPr>
                  <w:r>
                    <w:rPr>
                      <w:rFonts w:hint="eastAsia"/>
                      <w:color w:val="auto"/>
                      <w:sz w:val="21"/>
                      <w:szCs w:val="21"/>
                    </w:rPr>
                    <w:t>项目所在区域边界外扩500m范围</w:t>
                  </w:r>
                  <w:r>
                    <w:rPr>
                      <w:rFonts w:hint="eastAsia"/>
                      <w:color w:val="auto"/>
                      <w:sz w:val="21"/>
                      <w:szCs w:val="21"/>
                      <w:lang w:eastAsia="zh-CN"/>
                    </w:rPr>
                    <w:t>无大气环境保护目标。</w:t>
                  </w:r>
                </w:p>
              </w:tc>
              <w:tc>
                <w:tcPr>
                  <w:tcW w:w="362" w:type="pct"/>
                  <w:noWrap w:val="0"/>
                  <w:vAlign w:val="center"/>
                </w:tcPr>
                <w:p w14:paraId="43927D11">
                  <w:pPr>
                    <w:spacing w:line="240" w:lineRule="atLeast"/>
                    <w:jc w:val="center"/>
                    <w:rPr>
                      <w:rFonts w:hint="eastAsia"/>
                      <w:color w:val="auto"/>
                      <w:sz w:val="21"/>
                      <w:szCs w:val="21"/>
                    </w:rPr>
                  </w:pPr>
                  <w:r>
                    <w:rPr>
                      <w:rFonts w:hint="eastAsia"/>
                      <w:color w:val="auto"/>
                      <w:sz w:val="21"/>
                      <w:szCs w:val="21"/>
                    </w:rPr>
                    <w:t>居民</w:t>
                  </w:r>
                </w:p>
              </w:tc>
              <w:tc>
                <w:tcPr>
                  <w:tcW w:w="647" w:type="pct"/>
                  <w:noWrap w:val="0"/>
                  <w:vAlign w:val="center"/>
                </w:tcPr>
                <w:p w14:paraId="3498DCE4">
                  <w:pPr>
                    <w:autoSpaceDE w:val="0"/>
                    <w:autoSpaceDN w:val="0"/>
                    <w:jc w:val="center"/>
                    <w:rPr>
                      <w:color w:val="auto"/>
                      <w:sz w:val="21"/>
                      <w:szCs w:val="21"/>
                    </w:rPr>
                  </w:pPr>
                  <w:r>
                    <w:rPr>
                      <w:color w:val="auto"/>
                      <w:sz w:val="21"/>
                      <w:szCs w:val="21"/>
                    </w:rPr>
                    <w:t>人群</w:t>
                  </w:r>
                </w:p>
              </w:tc>
              <w:tc>
                <w:tcPr>
                  <w:tcW w:w="411" w:type="pct"/>
                  <w:noWrap w:val="0"/>
                  <w:vAlign w:val="center"/>
                </w:tcPr>
                <w:p w14:paraId="22A58A40">
                  <w:pPr>
                    <w:spacing w:line="240" w:lineRule="atLeast"/>
                    <w:jc w:val="center"/>
                    <w:rPr>
                      <w:color w:val="auto"/>
                      <w:sz w:val="21"/>
                      <w:szCs w:val="21"/>
                    </w:rPr>
                  </w:pPr>
                  <w:r>
                    <w:rPr>
                      <w:color w:val="auto"/>
                      <w:sz w:val="21"/>
                      <w:szCs w:val="21"/>
                    </w:rPr>
                    <w:t>二类区</w:t>
                  </w:r>
                </w:p>
              </w:tc>
              <w:tc>
                <w:tcPr>
                  <w:tcW w:w="333" w:type="pct"/>
                  <w:noWrap w:val="0"/>
                  <w:vAlign w:val="center"/>
                </w:tcPr>
                <w:p w14:paraId="76574152">
                  <w:pPr>
                    <w:autoSpaceDE w:val="0"/>
                    <w:autoSpaceDN w:val="0"/>
                    <w:jc w:val="center"/>
                    <w:rPr>
                      <w:rFonts w:hint="eastAsia" w:eastAsia="宋体"/>
                      <w:color w:val="auto"/>
                      <w:sz w:val="21"/>
                      <w:szCs w:val="21"/>
                      <w:lang w:val="en-US" w:eastAsia="zh-CN"/>
                    </w:rPr>
                  </w:pPr>
                  <w:r>
                    <w:rPr>
                      <w:rFonts w:hint="eastAsia"/>
                      <w:color w:val="auto"/>
                      <w:sz w:val="21"/>
                      <w:szCs w:val="21"/>
                      <w:lang w:val="en-US" w:eastAsia="zh-CN"/>
                    </w:rPr>
                    <w:t>/</w:t>
                  </w:r>
                </w:p>
              </w:tc>
              <w:tc>
                <w:tcPr>
                  <w:tcW w:w="437" w:type="pct"/>
                  <w:noWrap w:val="0"/>
                  <w:vAlign w:val="center"/>
                </w:tcPr>
                <w:p w14:paraId="16737100">
                  <w:pPr>
                    <w:autoSpaceDE w:val="0"/>
                    <w:autoSpaceDN w:val="0"/>
                    <w:jc w:val="center"/>
                    <w:rPr>
                      <w:rFonts w:hint="eastAsia" w:eastAsia="宋体"/>
                      <w:color w:val="auto"/>
                      <w:sz w:val="21"/>
                      <w:szCs w:val="21"/>
                      <w:lang w:val="en-US" w:eastAsia="zh-CN"/>
                    </w:rPr>
                  </w:pPr>
                  <w:r>
                    <w:rPr>
                      <w:rFonts w:hint="eastAsia"/>
                      <w:color w:val="auto"/>
                      <w:sz w:val="21"/>
                      <w:szCs w:val="21"/>
                      <w:lang w:val="en-US" w:eastAsia="zh-CN"/>
                    </w:rPr>
                    <w:t>/</w:t>
                  </w:r>
                </w:p>
              </w:tc>
            </w:tr>
            <w:tr w14:paraId="083B81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10" w:type="pct"/>
                  <w:noWrap w:val="0"/>
                  <w:vAlign w:val="center"/>
                </w:tcPr>
                <w:p w14:paraId="0B0E8FB0">
                  <w:pPr>
                    <w:spacing w:line="240" w:lineRule="atLeast"/>
                    <w:jc w:val="center"/>
                    <w:rPr>
                      <w:rFonts w:hint="eastAsia"/>
                      <w:color w:val="auto"/>
                      <w:sz w:val="21"/>
                      <w:szCs w:val="21"/>
                    </w:rPr>
                  </w:pPr>
                  <w:r>
                    <w:rPr>
                      <w:rFonts w:hint="eastAsia"/>
                      <w:color w:val="auto"/>
                      <w:sz w:val="21"/>
                      <w:szCs w:val="21"/>
                    </w:rPr>
                    <w:t>生态环境</w:t>
                  </w:r>
                </w:p>
              </w:tc>
              <w:tc>
                <w:tcPr>
                  <w:tcW w:w="2659" w:type="pct"/>
                  <w:gridSpan w:val="4"/>
                  <w:noWrap w:val="0"/>
                  <w:vAlign w:val="center"/>
                </w:tcPr>
                <w:p w14:paraId="70530D7F">
                  <w:pPr>
                    <w:spacing w:line="240" w:lineRule="atLeast"/>
                    <w:jc w:val="center"/>
                    <w:rPr>
                      <w:rFonts w:hint="eastAsia"/>
                      <w:color w:val="auto"/>
                      <w:sz w:val="21"/>
                      <w:szCs w:val="21"/>
                    </w:rPr>
                  </w:pPr>
                  <w:r>
                    <w:rPr>
                      <w:rFonts w:hint="eastAsia"/>
                      <w:color w:val="auto"/>
                      <w:sz w:val="21"/>
                      <w:szCs w:val="21"/>
                      <w:lang w:val="en-US" w:eastAsia="zh-CN"/>
                    </w:rPr>
                    <w:t>本项目位于现有矿井工业场内，不新增占地，本项目</w:t>
                  </w:r>
                  <w:r>
                    <w:rPr>
                      <w:rFonts w:hint="eastAsia"/>
                      <w:color w:val="auto"/>
                      <w:sz w:val="21"/>
                      <w:szCs w:val="21"/>
                    </w:rPr>
                    <w:t>所在区域边界外扩500m范围</w:t>
                  </w:r>
                  <w:r>
                    <w:rPr>
                      <w:rFonts w:hint="eastAsia"/>
                      <w:color w:val="auto"/>
                      <w:sz w:val="21"/>
                      <w:szCs w:val="21"/>
                      <w:lang w:eastAsia="zh-CN"/>
                    </w:rPr>
                    <w:t>无生态环境保护目标</w:t>
                  </w:r>
                  <w:r>
                    <w:rPr>
                      <w:rFonts w:hint="eastAsia"/>
                      <w:color w:val="auto"/>
                      <w:sz w:val="21"/>
                      <w:szCs w:val="21"/>
                      <w:lang w:val="en-US" w:eastAsia="zh-CN"/>
                    </w:rPr>
                    <w:t>。</w:t>
                  </w:r>
                </w:p>
              </w:tc>
              <w:tc>
                <w:tcPr>
                  <w:tcW w:w="1829" w:type="pct"/>
                  <w:gridSpan w:val="4"/>
                  <w:noWrap w:val="0"/>
                  <w:vAlign w:val="center"/>
                </w:tcPr>
                <w:p w14:paraId="3F8CCCCD">
                  <w:pPr>
                    <w:autoSpaceDE w:val="0"/>
                    <w:autoSpaceDN w:val="0"/>
                    <w:jc w:val="center"/>
                    <w:rPr>
                      <w:rFonts w:hint="eastAsia"/>
                      <w:color w:val="auto"/>
                      <w:sz w:val="21"/>
                      <w:szCs w:val="21"/>
                    </w:rPr>
                  </w:pPr>
                  <w:r>
                    <w:rPr>
                      <w:color w:val="auto"/>
                      <w:sz w:val="21"/>
                      <w:szCs w:val="21"/>
                      <w:lang w:bidi="ar"/>
                    </w:rPr>
                    <w:t>动植物生存环境不因本项目建设发生明显变化</w:t>
                  </w:r>
                  <w:r>
                    <w:rPr>
                      <w:rFonts w:hint="eastAsia"/>
                      <w:color w:val="auto"/>
                      <w:sz w:val="21"/>
                      <w:szCs w:val="21"/>
                      <w:lang w:bidi="ar"/>
                    </w:rPr>
                    <w:t>；</w:t>
                  </w:r>
                  <w:r>
                    <w:rPr>
                      <w:color w:val="auto"/>
                      <w:sz w:val="21"/>
                      <w:szCs w:val="21"/>
                    </w:rPr>
                    <w:t>生态系统结构的整体性不发生改变</w:t>
                  </w:r>
                </w:p>
              </w:tc>
            </w:tr>
            <w:tr w14:paraId="23704B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10" w:type="pct"/>
                  <w:noWrap w:val="0"/>
                  <w:vAlign w:val="center"/>
                </w:tcPr>
                <w:p w14:paraId="7B30B233">
                  <w:pPr>
                    <w:spacing w:line="240" w:lineRule="atLeast"/>
                    <w:jc w:val="center"/>
                    <w:rPr>
                      <w:rFonts w:hint="eastAsia"/>
                      <w:color w:val="auto"/>
                      <w:sz w:val="21"/>
                      <w:szCs w:val="21"/>
                    </w:rPr>
                  </w:pPr>
                  <w:r>
                    <w:rPr>
                      <w:rFonts w:hint="eastAsia"/>
                      <w:color w:val="auto"/>
                      <w:sz w:val="21"/>
                      <w:szCs w:val="21"/>
                    </w:rPr>
                    <w:t>声环境</w:t>
                  </w:r>
                </w:p>
              </w:tc>
              <w:tc>
                <w:tcPr>
                  <w:tcW w:w="2659" w:type="pct"/>
                  <w:gridSpan w:val="4"/>
                  <w:noWrap w:val="0"/>
                  <w:vAlign w:val="center"/>
                </w:tcPr>
                <w:p w14:paraId="2F5952AB">
                  <w:pPr>
                    <w:spacing w:line="240" w:lineRule="atLeast"/>
                    <w:jc w:val="center"/>
                    <w:rPr>
                      <w:rFonts w:hint="eastAsia"/>
                      <w:color w:val="auto"/>
                      <w:sz w:val="21"/>
                      <w:szCs w:val="21"/>
                      <w:lang w:eastAsia="zh-CN"/>
                    </w:rPr>
                  </w:pPr>
                  <w:r>
                    <w:rPr>
                      <w:rFonts w:hint="eastAsia"/>
                      <w:color w:val="auto"/>
                      <w:sz w:val="21"/>
                      <w:szCs w:val="21"/>
                    </w:rPr>
                    <w:t>项目所在区域边界外扩</w:t>
                  </w:r>
                  <w:r>
                    <w:rPr>
                      <w:rFonts w:hint="eastAsia"/>
                      <w:color w:val="auto"/>
                      <w:sz w:val="21"/>
                      <w:szCs w:val="21"/>
                      <w:lang w:val="en-US" w:eastAsia="zh-CN"/>
                    </w:rPr>
                    <w:t>5</w:t>
                  </w:r>
                  <w:r>
                    <w:rPr>
                      <w:rFonts w:hint="eastAsia"/>
                      <w:color w:val="auto"/>
                      <w:sz w:val="21"/>
                      <w:szCs w:val="21"/>
                    </w:rPr>
                    <w:t>0m范围无声环境保护目标</w:t>
                  </w:r>
                  <w:r>
                    <w:rPr>
                      <w:rFonts w:hint="eastAsia"/>
                      <w:color w:val="auto"/>
                      <w:sz w:val="21"/>
                      <w:szCs w:val="21"/>
                      <w:lang w:eastAsia="zh-CN"/>
                    </w:rPr>
                    <w:t>。</w:t>
                  </w:r>
                </w:p>
              </w:tc>
              <w:tc>
                <w:tcPr>
                  <w:tcW w:w="1829" w:type="pct"/>
                  <w:gridSpan w:val="4"/>
                  <w:noWrap w:val="0"/>
                  <w:vAlign w:val="center"/>
                </w:tcPr>
                <w:p w14:paraId="36A9C1BC">
                  <w:pPr>
                    <w:autoSpaceDE w:val="0"/>
                    <w:autoSpaceDN w:val="0"/>
                    <w:jc w:val="center"/>
                    <w:rPr>
                      <w:color w:val="auto"/>
                      <w:sz w:val="21"/>
                      <w:szCs w:val="21"/>
                      <w:lang w:bidi="ar"/>
                    </w:rPr>
                  </w:pPr>
                  <w:r>
                    <w:rPr>
                      <w:rFonts w:hint="eastAsia"/>
                      <w:color w:val="auto"/>
                      <w:sz w:val="21"/>
                      <w:szCs w:val="21"/>
                      <w:lang w:bidi="ar"/>
                    </w:rPr>
                    <w:t>-</w:t>
                  </w:r>
                </w:p>
              </w:tc>
            </w:tr>
            <w:tr w14:paraId="131E13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10" w:type="pct"/>
                  <w:noWrap w:val="0"/>
                  <w:vAlign w:val="center"/>
                </w:tcPr>
                <w:p w14:paraId="5D52A922">
                  <w:pPr>
                    <w:spacing w:line="240" w:lineRule="atLeast"/>
                    <w:jc w:val="center"/>
                    <w:rPr>
                      <w:rFonts w:hint="eastAsia"/>
                      <w:color w:val="auto"/>
                      <w:sz w:val="21"/>
                      <w:szCs w:val="21"/>
                      <w:lang w:eastAsia="zh-CN"/>
                    </w:rPr>
                  </w:pPr>
                  <w:r>
                    <w:rPr>
                      <w:rFonts w:hint="eastAsia"/>
                      <w:color w:val="auto"/>
                      <w:sz w:val="21"/>
                      <w:szCs w:val="21"/>
                      <w:lang w:eastAsia="zh-CN"/>
                    </w:rPr>
                    <w:t>地下水</w:t>
                  </w:r>
                </w:p>
              </w:tc>
              <w:tc>
                <w:tcPr>
                  <w:tcW w:w="2659" w:type="pct"/>
                  <w:gridSpan w:val="4"/>
                  <w:noWrap w:val="0"/>
                  <w:vAlign w:val="center"/>
                </w:tcPr>
                <w:p w14:paraId="0361DD11">
                  <w:pPr>
                    <w:spacing w:line="240" w:lineRule="atLeast"/>
                    <w:jc w:val="center"/>
                    <w:rPr>
                      <w:rFonts w:hint="eastAsia"/>
                      <w:color w:val="auto"/>
                      <w:sz w:val="21"/>
                      <w:szCs w:val="21"/>
                      <w:lang w:eastAsia="zh-CN"/>
                    </w:rPr>
                  </w:pPr>
                  <w:r>
                    <w:rPr>
                      <w:rFonts w:hint="eastAsia"/>
                      <w:color w:val="auto"/>
                      <w:sz w:val="21"/>
                      <w:szCs w:val="21"/>
                    </w:rPr>
                    <w:t>项目所在区域边界外扩500m范围</w:t>
                  </w:r>
                  <w:r>
                    <w:rPr>
                      <w:rFonts w:hint="eastAsia"/>
                      <w:color w:val="auto"/>
                      <w:sz w:val="21"/>
                      <w:szCs w:val="21"/>
                      <w:lang w:eastAsia="zh-CN"/>
                    </w:rPr>
                    <w:t>内</w:t>
                  </w:r>
                  <w:r>
                    <w:rPr>
                      <w:rFonts w:hint="eastAsia"/>
                      <w:color w:val="auto"/>
                      <w:sz w:val="21"/>
                      <w:szCs w:val="21"/>
                    </w:rPr>
                    <w:t>，无</w:t>
                  </w:r>
                  <w:r>
                    <w:rPr>
                      <w:rFonts w:hint="eastAsia"/>
                      <w:color w:val="auto"/>
                      <w:sz w:val="21"/>
                      <w:szCs w:val="21"/>
                      <w:lang w:eastAsia="zh-CN"/>
                    </w:rPr>
                    <w:t>地下水集中式饮用水水源和热水、矿泉水、温泉等特殊地下水资源。</w:t>
                  </w:r>
                </w:p>
              </w:tc>
              <w:tc>
                <w:tcPr>
                  <w:tcW w:w="1829" w:type="pct"/>
                  <w:gridSpan w:val="4"/>
                  <w:noWrap w:val="0"/>
                  <w:vAlign w:val="center"/>
                </w:tcPr>
                <w:p w14:paraId="69AD7986">
                  <w:pPr>
                    <w:autoSpaceDE w:val="0"/>
                    <w:autoSpaceDN w:val="0"/>
                    <w:jc w:val="center"/>
                    <w:rPr>
                      <w:rFonts w:hint="eastAsia"/>
                      <w:color w:val="auto"/>
                      <w:sz w:val="21"/>
                      <w:szCs w:val="21"/>
                      <w:lang w:bidi="ar"/>
                    </w:rPr>
                  </w:pPr>
                  <w:r>
                    <w:rPr>
                      <w:rFonts w:ascii="Times New Roman" w:hAnsi="Times New Roman"/>
                      <w:color w:val="auto"/>
                      <w:sz w:val="21"/>
                      <w:szCs w:val="21"/>
                    </w:rPr>
                    <w:t>地下水符合《地下水质量标》(GB/T14848-2017)Ⅲ类标准</w:t>
                  </w:r>
                </w:p>
              </w:tc>
            </w:tr>
          </w:tbl>
          <w:p w14:paraId="1996966C">
            <w:pPr>
              <w:wordWrap w:val="0"/>
              <w:jc w:val="both"/>
              <w:rPr>
                <w:rFonts w:ascii="宋体" w:hAnsi="宋体"/>
                <w:color w:val="auto"/>
                <w:sz w:val="20"/>
                <w:szCs w:val="20"/>
              </w:rPr>
            </w:pPr>
          </w:p>
        </w:tc>
      </w:tr>
      <w:tr w14:paraId="541B5014">
        <w:tblPrEx>
          <w:tblBorders>
            <w:top w:val="single" w:color="000000" w:sz="8" w:space="0"/>
            <w:left w:val="single" w:color="000000" w:sz="8" w:space="0"/>
            <w:bottom w:val="single" w:color="000000" w:sz="4" w:space="0"/>
            <w:right w:val="single" w:color="000000" w:sz="8" w:space="0"/>
            <w:insideH w:val="single" w:color="000000" w:sz="8" w:space="0"/>
            <w:insideV w:val="single" w:color="000000" w:sz="4" w:space="0"/>
          </w:tblBorders>
          <w:tblCellMar>
            <w:top w:w="0" w:type="dxa"/>
            <w:left w:w="108" w:type="dxa"/>
            <w:bottom w:w="0" w:type="dxa"/>
            <w:right w:w="108" w:type="dxa"/>
          </w:tblCellMar>
        </w:tblPrEx>
        <w:trPr>
          <w:trHeight w:val="554" w:hRule="atLeast"/>
          <w:jc w:val="center"/>
        </w:trPr>
        <w:tc>
          <w:tcPr>
            <w:tcW w:w="456" w:type="dxa"/>
            <w:tcBorders>
              <w:tl2br w:val="nil"/>
              <w:tr2bl w:val="nil"/>
            </w:tcBorders>
            <w:vAlign w:val="center"/>
          </w:tcPr>
          <w:p w14:paraId="553D3C9D">
            <w:pPr>
              <w:spacing w:line="360" w:lineRule="auto"/>
              <w:jc w:val="center"/>
              <w:rPr>
                <w:rFonts w:eastAsia="Times New Roman"/>
                <w:color w:val="auto"/>
                <w:sz w:val="24"/>
              </w:rPr>
            </w:pPr>
            <w:r>
              <w:rPr>
                <w:rFonts w:eastAsia="Times New Roman"/>
                <w:color w:val="auto"/>
                <w:sz w:val="24"/>
              </w:rPr>
              <w:t>评价</w:t>
            </w:r>
          </w:p>
          <w:p w14:paraId="45DC4B53">
            <w:pPr>
              <w:spacing w:line="360" w:lineRule="auto"/>
              <w:jc w:val="center"/>
              <w:rPr>
                <w:rFonts w:eastAsia="Times New Roman"/>
                <w:color w:val="auto"/>
                <w:szCs w:val="21"/>
              </w:rPr>
            </w:pPr>
            <w:r>
              <w:rPr>
                <w:rFonts w:eastAsia="Times New Roman"/>
                <w:color w:val="auto"/>
                <w:sz w:val="24"/>
              </w:rPr>
              <w:t>标准</w:t>
            </w:r>
          </w:p>
        </w:tc>
        <w:tc>
          <w:tcPr>
            <w:tcW w:w="8446" w:type="dxa"/>
            <w:tcBorders>
              <w:tl2br w:val="nil"/>
              <w:tr2bl w:val="nil"/>
            </w:tcBorders>
            <w:vAlign w:val="center"/>
          </w:tcPr>
          <w:p w14:paraId="39609017">
            <w:pPr>
              <w:spacing w:line="360" w:lineRule="auto"/>
              <w:ind w:firstLine="480"/>
              <w:rPr>
                <w:rFonts w:eastAsia="Times New Roman"/>
                <w:color w:val="auto"/>
                <w:sz w:val="24"/>
              </w:rPr>
            </w:pPr>
            <w:r>
              <w:rPr>
                <w:rFonts w:eastAsia="Times New Roman"/>
                <w:color w:val="auto"/>
                <w:sz w:val="24"/>
              </w:rPr>
              <w:t>1.环境质量标准</w:t>
            </w:r>
          </w:p>
          <w:p w14:paraId="7424D3D4">
            <w:pPr>
              <w:spacing w:line="360" w:lineRule="auto"/>
              <w:ind w:firstLine="480"/>
              <w:rPr>
                <w:rFonts w:eastAsia="Times New Roman"/>
                <w:color w:val="auto"/>
                <w:sz w:val="24"/>
              </w:rPr>
            </w:pPr>
            <w:r>
              <w:rPr>
                <w:rFonts w:eastAsia="Times New Roman"/>
                <w:color w:val="auto"/>
                <w:sz w:val="24"/>
              </w:rPr>
              <w:t>（1）大气环境</w:t>
            </w:r>
          </w:p>
          <w:p w14:paraId="42D4227A">
            <w:pPr>
              <w:spacing w:line="360" w:lineRule="auto"/>
              <w:ind w:firstLine="480"/>
              <w:rPr>
                <w:rFonts w:hint="eastAsia" w:eastAsia="宋体"/>
                <w:color w:val="auto"/>
                <w:sz w:val="24"/>
                <w:lang w:eastAsia="zh-CN"/>
              </w:rPr>
            </w:pPr>
            <w:r>
              <w:rPr>
                <w:rFonts w:hint="eastAsia"/>
                <w:color w:val="auto"/>
                <w:sz w:val="24"/>
              </w:rPr>
              <w:t>本项目施工期废气排放执行《大气污染物综合排放标准》（GB16297-1996）表2无组织排放监控点浓度限值：1.0mg/m</w:t>
            </w:r>
            <w:r>
              <w:rPr>
                <w:rFonts w:hint="eastAsia"/>
                <w:color w:val="auto"/>
                <w:sz w:val="24"/>
                <w:vertAlign w:val="superscript"/>
              </w:rPr>
              <w:t>3</w:t>
            </w:r>
            <w:r>
              <w:rPr>
                <w:rFonts w:hint="eastAsia"/>
                <w:color w:val="auto"/>
                <w:sz w:val="24"/>
              </w:rPr>
              <w:t>。</w:t>
            </w:r>
            <w:r>
              <w:rPr>
                <w:rFonts w:hint="eastAsia"/>
                <w:color w:val="auto"/>
                <w:sz w:val="24"/>
                <w:lang w:eastAsia="zh-CN"/>
              </w:rPr>
              <w:t>运营期不产生废气。</w:t>
            </w:r>
          </w:p>
          <w:p w14:paraId="314AA8DB">
            <w:pPr>
              <w:spacing w:line="360" w:lineRule="auto"/>
              <w:ind w:firstLine="480"/>
              <w:rPr>
                <w:rFonts w:eastAsia="Times New Roman"/>
                <w:color w:val="auto"/>
                <w:sz w:val="24"/>
              </w:rPr>
            </w:pPr>
            <w:r>
              <w:rPr>
                <w:rFonts w:eastAsia="Times New Roman"/>
                <w:color w:val="auto"/>
                <w:sz w:val="24"/>
              </w:rPr>
              <w:t>（2）声环境</w:t>
            </w:r>
          </w:p>
          <w:p w14:paraId="0EA13F9E">
            <w:pPr>
              <w:spacing w:line="360" w:lineRule="auto"/>
              <w:ind w:firstLine="480"/>
              <w:rPr>
                <w:rFonts w:eastAsia="Times New Roman"/>
                <w:color w:val="auto"/>
                <w:sz w:val="24"/>
              </w:rPr>
            </w:pPr>
            <w:r>
              <w:rPr>
                <w:rFonts w:eastAsia="Times New Roman"/>
                <w:color w:val="auto"/>
                <w:sz w:val="24"/>
              </w:rPr>
              <w:t>项目声环境评价执行《声环境质量标准》（GB3096-2008）中</w:t>
            </w:r>
            <w:r>
              <w:rPr>
                <w:rFonts w:hint="eastAsia" w:eastAsia="宋体"/>
                <w:color w:val="auto"/>
                <w:sz w:val="24"/>
                <w:lang w:val="en-US" w:eastAsia="zh-CN"/>
              </w:rPr>
              <w:t>2</w:t>
            </w:r>
            <w:r>
              <w:rPr>
                <w:rFonts w:eastAsia="Times New Roman"/>
                <w:color w:val="auto"/>
                <w:sz w:val="24"/>
              </w:rPr>
              <w:t>类标准。具体标准值见下表：</w:t>
            </w:r>
          </w:p>
          <w:p w14:paraId="061E0073">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表3-</w:t>
            </w:r>
            <w:r>
              <w:rPr>
                <w:rFonts w:hint="eastAsia" w:cs="Times New Roman"/>
                <w:b/>
                <w:bCs/>
                <w:color w:val="auto"/>
                <w:szCs w:val="21"/>
                <w:lang w:val="en-US" w:eastAsia="zh-CN"/>
              </w:rPr>
              <w:t>14</w:t>
            </w:r>
            <w:r>
              <w:rPr>
                <w:rFonts w:hint="eastAsia" w:ascii="Times New Roman" w:hAnsi="Times New Roman" w:eastAsia="宋体" w:cs="Times New Roman"/>
                <w:b/>
                <w:bCs/>
                <w:color w:val="auto"/>
                <w:szCs w:val="21"/>
                <w:lang w:val="en-US" w:eastAsia="zh-CN"/>
              </w:rPr>
              <w:t xml:space="preserve">    声环境质量标准</w:t>
            </w:r>
          </w:p>
          <w:tbl>
            <w:tblPr>
              <w:tblStyle w:val="19"/>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161"/>
              <w:gridCol w:w="1793"/>
              <w:gridCol w:w="2309"/>
              <w:gridCol w:w="3114"/>
            </w:tblGrid>
            <w:tr w14:paraId="070D343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93" w:type="pct"/>
                  <w:vMerge w:val="restart"/>
                  <w:vAlign w:val="center"/>
                </w:tcPr>
                <w:p w14:paraId="4EB45966">
                  <w:pPr>
                    <w:jc w:val="center"/>
                    <w:rPr>
                      <w:rFonts w:eastAsia="Times New Roman"/>
                      <w:b/>
                      <w:color w:val="auto"/>
                      <w:szCs w:val="21"/>
                    </w:rPr>
                  </w:pPr>
                  <w:r>
                    <w:rPr>
                      <w:rFonts w:eastAsia="Times New Roman"/>
                      <w:b/>
                      <w:color w:val="auto"/>
                      <w:szCs w:val="21"/>
                    </w:rPr>
                    <w:t>类别</w:t>
                  </w:r>
                </w:p>
              </w:tc>
              <w:tc>
                <w:tcPr>
                  <w:tcW w:w="2448" w:type="pct"/>
                  <w:gridSpan w:val="2"/>
                  <w:vAlign w:val="center"/>
                </w:tcPr>
                <w:p w14:paraId="3FDA6CCB">
                  <w:pPr>
                    <w:jc w:val="center"/>
                    <w:rPr>
                      <w:rFonts w:eastAsia="Times New Roman"/>
                      <w:b/>
                      <w:color w:val="auto"/>
                      <w:szCs w:val="21"/>
                    </w:rPr>
                  </w:pPr>
                  <w:r>
                    <w:rPr>
                      <w:rFonts w:eastAsia="Times New Roman"/>
                      <w:b/>
                      <w:color w:val="auto"/>
                      <w:szCs w:val="21"/>
                    </w:rPr>
                    <w:t>标准值dB（A）</w:t>
                  </w:r>
                </w:p>
              </w:tc>
              <w:tc>
                <w:tcPr>
                  <w:tcW w:w="1858" w:type="pct"/>
                  <w:vAlign w:val="center"/>
                </w:tcPr>
                <w:p w14:paraId="42620247">
                  <w:pPr>
                    <w:jc w:val="center"/>
                    <w:rPr>
                      <w:rFonts w:eastAsia="Times New Roman"/>
                      <w:b/>
                      <w:color w:val="auto"/>
                      <w:szCs w:val="21"/>
                    </w:rPr>
                  </w:pPr>
                  <w:r>
                    <w:rPr>
                      <w:rFonts w:eastAsia="Times New Roman"/>
                      <w:b/>
                      <w:color w:val="auto"/>
                      <w:szCs w:val="21"/>
                    </w:rPr>
                    <w:t>标准来源</w:t>
                  </w:r>
                </w:p>
              </w:tc>
            </w:tr>
            <w:tr w14:paraId="574A2E6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93" w:type="pct"/>
                  <w:vMerge w:val="continue"/>
                  <w:vAlign w:val="center"/>
                </w:tcPr>
                <w:p w14:paraId="4FB00798">
                  <w:pPr>
                    <w:rPr>
                      <w:color w:val="auto"/>
                    </w:rPr>
                  </w:pPr>
                </w:p>
              </w:tc>
              <w:tc>
                <w:tcPr>
                  <w:tcW w:w="1070" w:type="pct"/>
                  <w:vAlign w:val="center"/>
                </w:tcPr>
                <w:p w14:paraId="6E39BCD4">
                  <w:pPr>
                    <w:jc w:val="center"/>
                    <w:rPr>
                      <w:rFonts w:eastAsia="Times New Roman"/>
                      <w:color w:val="auto"/>
                      <w:szCs w:val="21"/>
                    </w:rPr>
                  </w:pPr>
                  <w:r>
                    <w:rPr>
                      <w:rFonts w:eastAsia="Times New Roman"/>
                      <w:color w:val="auto"/>
                      <w:szCs w:val="21"/>
                    </w:rPr>
                    <w:t>昼间</w:t>
                  </w:r>
                </w:p>
              </w:tc>
              <w:tc>
                <w:tcPr>
                  <w:tcW w:w="1378" w:type="pct"/>
                  <w:vAlign w:val="center"/>
                </w:tcPr>
                <w:p w14:paraId="590CDDCE">
                  <w:pPr>
                    <w:jc w:val="center"/>
                    <w:rPr>
                      <w:rFonts w:eastAsia="Times New Roman"/>
                      <w:color w:val="auto"/>
                      <w:szCs w:val="21"/>
                    </w:rPr>
                  </w:pPr>
                  <w:r>
                    <w:rPr>
                      <w:rFonts w:eastAsia="Times New Roman"/>
                      <w:color w:val="auto"/>
                      <w:szCs w:val="21"/>
                    </w:rPr>
                    <w:t>夜间</w:t>
                  </w:r>
                </w:p>
              </w:tc>
              <w:tc>
                <w:tcPr>
                  <w:tcW w:w="1858" w:type="pct"/>
                  <w:vMerge w:val="restart"/>
                  <w:vAlign w:val="center"/>
                </w:tcPr>
                <w:p w14:paraId="36091AFF">
                  <w:pPr>
                    <w:jc w:val="center"/>
                    <w:rPr>
                      <w:rFonts w:eastAsia="Times New Roman"/>
                      <w:color w:val="auto"/>
                      <w:szCs w:val="21"/>
                    </w:rPr>
                  </w:pPr>
                  <w:r>
                    <w:rPr>
                      <w:rFonts w:eastAsia="Times New Roman"/>
                      <w:color w:val="auto"/>
                      <w:szCs w:val="21"/>
                    </w:rPr>
                    <w:t>《声环境质量标准》（GB3096-2008）</w:t>
                  </w:r>
                </w:p>
              </w:tc>
            </w:tr>
            <w:tr w14:paraId="46F95C8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693" w:type="pct"/>
                  <w:vAlign w:val="center"/>
                </w:tcPr>
                <w:p w14:paraId="25E885A2">
                  <w:pPr>
                    <w:jc w:val="center"/>
                    <w:rPr>
                      <w:rFonts w:eastAsia="Times New Roman"/>
                      <w:color w:val="auto"/>
                      <w:szCs w:val="21"/>
                    </w:rPr>
                  </w:pPr>
                  <w:r>
                    <w:rPr>
                      <w:rFonts w:eastAsia="Times New Roman"/>
                      <w:color w:val="auto"/>
                      <w:szCs w:val="21"/>
                    </w:rPr>
                    <w:t>2类</w:t>
                  </w:r>
                </w:p>
              </w:tc>
              <w:tc>
                <w:tcPr>
                  <w:tcW w:w="1070" w:type="pct"/>
                  <w:vAlign w:val="center"/>
                </w:tcPr>
                <w:p w14:paraId="2C3BFB57">
                  <w:pPr>
                    <w:jc w:val="center"/>
                    <w:rPr>
                      <w:rFonts w:eastAsia="Times New Roman"/>
                      <w:color w:val="auto"/>
                      <w:szCs w:val="21"/>
                    </w:rPr>
                  </w:pPr>
                  <w:r>
                    <w:rPr>
                      <w:rFonts w:eastAsia="Times New Roman"/>
                      <w:color w:val="auto"/>
                      <w:szCs w:val="21"/>
                    </w:rPr>
                    <w:t>60</w:t>
                  </w:r>
                </w:p>
              </w:tc>
              <w:tc>
                <w:tcPr>
                  <w:tcW w:w="1378" w:type="pct"/>
                  <w:vAlign w:val="center"/>
                </w:tcPr>
                <w:p w14:paraId="7CFA95E2">
                  <w:pPr>
                    <w:jc w:val="center"/>
                    <w:rPr>
                      <w:rFonts w:eastAsia="Times New Roman"/>
                      <w:color w:val="auto"/>
                      <w:szCs w:val="21"/>
                    </w:rPr>
                  </w:pPr>
                  <w:r>
                    <w:rPr>
                      <w:rFonts w:eastAsia="Times New Roman"/>
                      <w:color w:val="auto"/>
                      <w:szCs w:val="21"/>
                    </w:rPr>
                    <w:t>50</w:t>
                  </w:r>
                </w:p>
              </w:tc>
              <w:tc>
                <w:tcPr>
                  <w:tcW w:w="1858" w:type="pct"/>
                  <w:vMerge w:val="continue"/>
                  <w:vAlign w:val="center"/>
                </w:tcPr>
                <w:p w14:paraId="66664450">
                  <w:pPr>
                    <w:rPr>
                      <w:color w:val="auto"/>
                    </w:rPr>
                  </w:pPr>
                </w:p>
              </w:tc>
            </w:tr>
          </w:tbl>
          <w:p w14:paraId="3C1E2ED1">
            <w:pPr>
              <w:spacing w:line="360" w:lineRule="auto"/>
              <w:ind w:firstLine="480"/>
              <w:rPr>
                <w:rFonts w:hint="default" w:eastAsia="宋体"/>
                <w:color w:val="auto"/>
                <w:sz w:val="24"/>
                <w:lang w:val="en-US" w:eastAsia="zh-CN"/>
              </w:rPr>
            </w:pPr>
            <w:r>
              <w:rPr>
                <w:rFonts w:hint="eastAsia" w:eastAsia="宋体"/>
                <w:color w:val="auto"/>
                <w:sz w:val="24"/>
                <w:lang w:eastAsia="zh-CN"/>
              </w:rPr>
              <w:t>（</w:t>
            </w:r>
            <w:r>
              <w:rPr>
                <w:rFonts w:hint="eastAsia" w:eastAsia="宋体"/>
                <w:color w:val="auto"/>
                <w:sz w:val="24"/>
                <w:lang w:val="en-US" w:eastAsia="zh-CN"/>
              </w:rPr>
              <w:t>3</w:t>
            </w:r>
            <w:r>
              <w:rPr>
                <w:rFonts w:hint="eastAsia" w:eastAsia="宋体"/>
                <w:color w:val="auto"/>
                <w:sz w:val="24"/>
                <w:lang w:eastAsia="zh-CN"/>
              </w:rPr>
              <w:t>）</w:t>
            </w:r>
            <w:r>
              <w:rPr>
                <w:rFonts w:hint="eastAsia" w:eastAsia="宋体"/>
                <w:color w:val="auto"/>
                <w:sz w:val="24"/>
                <w:lang w:val="en-US" w:eastAsia="zh-CN"/>
              </w:rPr>
              <w:t>地表水质量标准</w:t>
            </w:r>
          </w:p>
          <w:p w14:paraId="3C0AB7D3">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表3-</w:t>
            </w:r>
            <w:r>
              <w:rPr>
                <w:rFonts w:hint="eastAsia" w:cs="Times New Roman"/>
                <w:b/>
                <w:bCs/>
                <w:color w:val="auto"/>
                <w:szCs w:val="21"/>
                <w:lang w:val="en-US" w:eastAsia="zh-CN"/>
              </w:rPr>
              <w:t>15</w:t>
            </w:r>
            <w:r>
              <w:rPr>
                <w:rFonts w:hint="eastAsia" w:ascii="Times New Roman" w:hAnsi="Times New Roman" w:eastAsia="宋体" w:cs="Times New Roman"/>
                <w:b/>
                <w:bCs/>
                <w:color w:val="auto"/>
                <w:szCs w:val="21"/>
                <w:lang w:val="en-US" w:eastAsia="zh-CN"/>
              </w:rPr>
              <w:t xml:space="preserve">    地表水质量标准</w:t>
            </w:r>
          </w:p>
          <w:tbl>
            <w:tblPr>
              <w:tblStyle w:val="54"/>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416"/>
              <w:gridCol w:w="3253"/>
              <w:gridCol w:w="3707"/>
            </w:tblGrid>
            <w:tr w14:paraId="1468A96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4CEF31DF">
                  <w:pPr>
                    <w:jc w:val="center"/>
                    <w:rPr>
                      <w:rFonts w:hint="eastAsia" w:eastAsia="宋体"/>
                      <w:color w:val="auto"/>
                      <w:szCs w:val="21"/>
                      <w:lang w:val="en-US" w:eastAsia="zh-CN"/>
                    </w:rPr>
                  </w:pPr>
                  <w:r>
                    <w:rPr>
                      <w:rFonts w:hint="eastAsia" w:eastAsia="宋体"/>
                      <w:color w:val="auto"/>
                      <w:szCs w:val="21"/>
                      <w:lang w:val="en-US" w:eastAsia="zh-CN"/>
                    </w:rPr>
                    <w:t>1</w:t>
                  </w:r>
                </w:p>
              </w:tc>
              <w:tc>
                <w:tcPr>
                  <w:tcW w:w="1941" w:type="pct"/>
                  <w:tcBorders>
                    <w:tl2br w:val="nil"/>
                    <w:tr2bl w:val="nil"/>
                  </w:tcBorders>
                  <w:vAlign w:val="center"/>
                </w:tcPr>
                <w:p w14:paraId="5D69FCFD">
                  <w:pPr>
                    <w:jc w:val="center"/>
                    <w:rPr>
                      <w:rFonts w:hint="eastAsia" w:eastAsia="Times New Roman"/>
                      <w:color w:val="auto"/>
                      <w:szCs w:val="21"/>
                      <w:lang w:val="en-US" w:eastAsia="zh-CN"/>
                    </w:rPr>
                  </w:pPr>
                  <w:r>
                    <w:rPr>
                      <w:rFonts w:hint="eastAsia" w:eastAsia="Times New Roman"/>
                      <w:color w:val="auto"/>
                      <w:szCs w:val="21"/>
                      <w:lang w:val="en-US" w:eastAsia="zh-CN"/>
                    </w:rPr>
                    <w:t>水温</w:t>
                  </w:r>
                </w:p>
              </w:tc>
              <w:tc>
                <w:tcPr>
                  <w:tcW w:w="2212" w:type="pct"/>
                  <w:tcBorders>
                    <w:tl2br w:val="nil"/>
                    <w:tr2bl w:val="nil"/>
                  </w:tcBorders>
                  <w:vAlign w:val="center"/>
                </w:tcPr>
                <w:p w14:paraId="25CAAAE1">
                  <w:pPr>
                    <w:jc w:val="center"/>
                    <w:rPr>
                      <w:rFonts w:eastAsia="Times New Roman"/>
                      <w:color w:val="auto"/>
                      <w:szCs w:val="21"/>
                    </w:rPr>
                  </w:pPr>
                  <w:r>
                    <w:rPr>
                      <w:rFonts w:eastAsia="Times New Roman"/>
                      <w:color w:val="auto"/>
                      <w:szCs w:val="21"/>
                    </w:rPr>
                    <w:t>人为造成的环境水温变化应限制在：</w:t>
                  </w:r>
                </w:p>
                <w:p w14:paraId="1233620E">
                  <w:pPr>
                    <w:jc w:val="center"/>
                    <w:rPr>
                      <w:rFonts w:eastAsia="Times New Roman"/>
                      <w:color w:val="auto"/>
                      <w:szCs w:val="21"/>
                    </w:rPr>
                  </w:pPr>
                  <w:r>
                    <w:rPr>
                      <w:rFonts w:eastAsia="Times New Roman"/>
                      <w:color w:val="auto"/>
                      <w:szCs w:val="21"/>
                    </w:rPr>
                    <w:t xml:space="preserve">周平均最大温升≤1 </w:t>
                  </w:r>
                </w:p>
                <w:p w14:paraId="1236B018">
                  <w:pPr>
                    <w:jc w:val="center"/>
                    <w:rPr>
                      <w:rFonts w:eastAsia="Times New Roman"/>
                      <w:color w:val="auto"/>
                      <w:szCs w:val="21"/>
                    </w:rPr>
                  </w:pPr>
                  <w:r>
                    <w:rPr>
                      <w:rFonts w:eastAsia="Times New Roman"/>
                      <w:color w:val="auto"/>
                      <w:szCs w:val="21"/>
                    </w:rPr>
                    <w:t>周平均最大温降≤2</w:t>
                  </w:r>
                </w:p>
              </w:tc>
            </w:tr>
            <w:tr w14:paraId="18E1A0F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59AC86AB">
                  <w:pPr>
                    <w:jc w:val="center"/>
                    <w:rPr>
                      <w:rFonts w:eastAsia="Times New Roman"/>
                      <w:color w:val="auto"/>
                      <w:szCs w:val="21"/>
                    </w:rPr>
                  </w:pPr>
                  <w:r>
                    <w:rPr>
                      <w:rFonts w:eastAsia="Times New Roman"/>
                      <w:color w:val="auto"/>
                      <w:szCs w:val="21"/>
                    </w:rPr>
                    <w:t>2</w:t>
                  </w:r>
                </w:p>
              </w:tc>
              <w:tc>
                <w:tcPr>
                  <w:tcW w:w="1941" w:type="pct"/>
                  <w:tcBorders>
                    <w:tl2br w:val="nil"/>
                    <w:tr2bl w:val="nil"/>
                  </w:tcBorders>
                  <w:vAlign w:val="center"/>
                </w:tcPr>
                <w:p w14:paraId="06B158FB">
                  <w:pPr>
                    <w:jc w:val="center"/>
                    <w:rPr>
                      <w:rFonts w:eastAsia="Times New Roman"/>
                      <w:color w:val="auto"/>
                      <w:szCs w:val="21"/>
                    </w:rPr>
                  </w:pPr>
                  <w:r>
                    <w:rPr>
                      <w:rFonts w:eastAsia="Times New Roman"/>
                      <w:color w:val="auto"/>
                      <w:szCs w:val="21"/>
                    </w:rPr>
                    <w:t>pH值(无量纲)</w:t>
                  </w:r>
                </w:p>
              </w:tc>
              <w:tc>
                <w:tcPr>
                  <w:tcW w:w="2212" w:type="pct"/>
                  <w:tcBorders>
                    <w:tl2br w:val="nil"/>
                    <w:tr2bl w:val="nil"/>
                  </w:tcBorders>
                  <w:vAlign w:val="center"/>
                </w:tcPr>
                <w:p w14:paraId="28DC702D">
                  <w:pPr>
                    <w:jc w:val="center"/>
                    <w:rPr>
                      <w:rFonts w:eastAsia="Times New Roman"/>
                      <w:color w:val="auto"/>
                      <w:szCs w:val="21"/>
                    </w:rPr>
                  </w:pPr>
                  <w:r>
                    <w:rPr>
                      <w:rFonts w:eastAsia="Times New Roman"/>
                      <w:color w:val="auto"/>
                      <w:szCs w:val="21"/>
                    </w:rPr>
                    <w:t>6～9</w:t>
                  </w:r>
                </w:p>
              </w:tc>
            </w:tr>
            <w:tr w14:paraId="28DF182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0B4794A2">
                  <w:pPr>
                    <w:jc w:val="center"/>
                    <w:rPr>
                      <w:rFonts w:eastAsia="Times New Roman"/>
                      <w:color w:val="auto"/>
                      <w:szCs w:val="21"/>
                    </w:rPr>
                  </w:pPr>
                </w:p>
                <w:p w14:paraId="0C2C9FB6">
                  <w:pPr>
                    <w:jc w:val="center"/>
                    <w:rPr>
                      <w:rFonts w:eastAsia="Times New Roman"/>
                      <w:color w:val="auto"/>
                      <w:szCs w:val="21"/>
                    </w:rPr>
                  </w:pPr>
                  <w:r>
                    <w:rPr>
                      <w:rFonts w:eastAsia="Times New Roman"/>
                      <w:color w:val="auto"/>
                      <w:szCs w:val="21"/>
                    </w:rPr>
                    <w:t>3</w:t>
                  </w:r>
                </w:p>
              </w:tc>
              <w:tc>
                <w:tcPr>
                  <w:tcW w:w="1941" w:type="pct"/>
                  <w:tcBorders>
                    <w:tl2br w:val="nil"/>
                    <w:tr2bl w:val="nil"/>
                  </w:tcBorders>
                  <w:vAlign w:val="center"/>
                </w:tcPr>
                <w:p w14:paraId="54037BD1">
                  <w:pPr>
                    <w:jc w:val="center"/>
                    <w:rPr>
                      <w:rFonts w:eastAsia="Times New Roman"/>
                      <w:color w:val="auto"/>
                      <w:szCs w:val="21"/>
                    </w:rPr>
                  </w:pPr>
                  <w:r>
                    <w:rPr>
                      <w:rFonts w:eastAsia="Times New Roman"/>
                      <w:color w:val="auto"/>
                      <w:szCs w:val="21"/>
                    </w:rPr>
                    <w:t>溶解氧≥</w:t>
                  </w:r>
                </w:p>
              </w:tc>
              <w:tc>
                <w:tcPr>
                  <w:tcW w:w="2212" w:type="pct"/>
                  <w:tcBorders>
                    <w:tl2br w:val="nil"/>
                    <w:tr2bl w:val="nil"/>
                  </w:tcBorders>
                  <w:vAlign w:val="center"/>
                </w:tcPr>
                <w:p w14:paraId="774D9CC8">
                  <w:pPr>
                    <w:jc w:val="center"/>
                    <w:rPr>
                      <w:rFonts w:eastAsia="Times New Roman"/>
                      <w:color w:val="auto"/>
                      <w:szCs w:val="21"/>
                    </w:rPr>
                  </w:pPr>
                  <w:r>
                    <w:rPr>
                      <w:rFonts w:eastAsia="Times New Roman"/>
                      <w:color w:val="auto"/>
                      <w:szCs w:val="21"/>
                    </w:rPr>
                    <w:t>5</w:t>
                  </w:r>
                </w:p>
              </w:tc>
            </w:tr>
            <w:tr w14:paraId="13A9AD3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6D133C7C">
                  <w:pPr>
                    <w:jc w:val="center"/>
                    <w:rPr>
                      <w:rFonts w:eastAsia="Times New Roman"/>
                      <w:color w:val="auto"/>
                      <w:szCs w:val="21"/>
                    </w:rPr>
                  </w:pPr>
                  <w:r>
                    <w:rPr>
                      <w:rFonts w:eastAsia="Times New Roman"/>
                      <w:color w:val="auto"/>
                      <w:szCs w:val="21"/>
                    </w:rPr>
                    <w:t>4</w:t>
                  </w:r>
                </w:p>
              </w:tc>
              <w:tc>
                <w:tcPr>
                  <w:tcW w:w="1941" w:type="pct"/>
                  <w:tcBorders>
                    <w:tl2br w:val="nil"/>
                    <w:tr2bl w:val="nil"/>
                  </w:tcBorders>
                  <w:vAlign w:val="center"/>
                </w:tcPr>
                <w:p w14:paraId="40E3DFD7">
                  <w:pPr>
                    <w:jc w:val="center"/>
                    <w:rPr>
                      <w:rFonts w:eastAsia="Times New Roman"/>
                      <w:color w:val="auto"/>
                      <w:szCs w:val="21"/>
                    </w:rPr>
                  </w:pPr>
                  <w:r>
                    <w:rPr>
                      <w:rFonts w:eastAsia="Times New Roman"/>
                      <w:color w:val="auto"/>
                      <w:szCs w:val="21"/>
                    </w:rPr>
                    <w:t>高锰酸盐指数≤</w:t>
                  </w:r>
                </w:p>
              </w:tc>
              <w:tc>
                <w:tcPr>
                  <w:tcW w:w="2212" w:type="pct"/>
                  <w:tcBorders>
                    <w:tl2br w:val="nil"/>
                    <w:tr2bl w:val="nil"/>
                  </w:tcBorders>
                  <w:vAlign w:val="center"/>
                </w:tcPr>
                <w:p w14:paraId="0AB76294">
                  <w:pPr>
                    <w:jc w:val="center"/>
                    <w:rPr>
                      <w:rFonts w:eastAsia="Times New Roman"/>
                      <w:color w:val="auto"/>
                      <w:szCs w:val="21"/>
                    </w:rPr>
                  </w:pPr>
                  <w:r>
                    <w:rPr>
                      <w:rFonts w:eastAsia="Times New Roman"/>
                      <w:color w:val="auto"/>
                      <w:szCs w:val="21"/>
                    </w:rPr>
                    <w:t>6</w:t>
                  </w:r>
                </w:p>
              </w:tc>
            </w:tr>
            <w:tr w14:paraId="2E6F580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3C288EB4">
                  <w:pPr>
                    <w:jc w:val="center"/>
                    <w:rPr>
                      <w:rFonts w:eastAsia="Times New Roman"/>
                      <w:color w:val="auto"/>
                      <w:szCs w:val="21"/>
                    </w:rPr>
                  </w:pPr>
                  <w:r>
                    <w:rPr>
                      <w:rFonts w:eastAsia="Times New Roman"/>
                      <w:color w:val="auto"/>
                      <w:szCs w:val="21"/>
                    </w:rPr>
                    <w:t>5</w:t>
                  </w:r>
                </w:p>
              </w:tc>
              <w:tc>
                <w:tcPr>
                  <w:tcW w:w="1941" w:type="pct"/>
                  <w:tcBorders>
                    <w:tl2br w:val="nil"/>
                    <w:tr2bl w:val="nil"/>
                  </w:tcBorders>
                  <w:vAlign w:val="center"/>
                </w:tcPr>
                <w:p w14:paraId="35006A63">
                  <w:pPr>
                    <w:jc w:val="center"/>
                    <w:rPr>
                      <w:rFonts w:eastAsia="Times New Roman"/>
                      <w:color w:val="auto"/>
                      <w:szCs w:val="21"/>
                    </w:rPr>
                  </w:pPr>
                  <w:r>
                    <w:rPr>
                      <w:rFonts w:eastAsia="Times New Roman"/>
                      <w:color w:val="auto"/>
                      <w:szCs w:val="21"/>
                    </w:rPr>
                    <w:t>化学需氧量(COD)≤</w:t>
                  </w:r>
                </w:p>
              </w:tc>
              <w:tc>
                <w:tcPr>
                  <w:tcW w:w="2212" w:type="pct"/>
                  <w:tcBorders>
                    <w:tl2br w:val="nil"/>
                    <w:tr2bl w:val="nil"/>
                  </w:tcBorders>
                  <w:vAlign w:val="center"/>
                </w:tcPr>
                <w:p w14:paraId="7B50AF42">
                  <w:pPr>
                    <w:jc w:val="center"/>
                    <w:rPr>
                      <w:rFonts w:eastAsia="Times New Roman"/>
                      <w:color w:val="auto"/>
                      <w:szCs w:val="21"/>
                    </w:rPr>
                  </w:pPr>
                  <w:r>
                    <w:rPr>
                      <w:rFonts w:eastAsia="Times New Roman"/>
                      <w:color w:val="auto"/>
                      <w:szCs w:val="21"/>
                    </w:rPr>
                    <w:t>20</w:t>
                  </w:r>
                </w:p>
              </w:tc>
            </w:tr>
            <w:tr w14:paraId="50322B1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7B5FF053">
                  <w:pPr>
                    <w:jc w:val="center"/>
                    <w:rPr>
                      <w:rFonts w:eastAsia="Times New Roman"/>
                      <w:color w:val="auto"/>
                      <w:szCs w:val="21"/>
                    </w:rPr>
                  </w:pPr>
                  <w:r>
                    <w:rPr>
                      <w:rFonts w:eastAsia="Times New Roman"/>
                      <w:color w:val="auto"/>
                      <w:szCs w:val="21"/>
                    </w:rPr>
                    <w:t>6</w:t>
                  </w:r>
                </w:p>
              </w:tc>
              <w:tc>
                <w:tcPr>
                  <w:tcW w:w="1941" w:type="pct"/>
                  <w:tcBorders>
                    <w:tl2br w:val="nil"/>
                    <w:tr2bl w:val="nil"/>
                  </w:tcBorders>
                  <w:vAlign w:val="center"/>
                </w:tcPr>
                <w:p w14:paraId="0530EF2D">
                  <w:pPr>
                    <w:jc w:val="center"/>
                    <w:rPr>
                      <w:rFonts w:eastAsia="Times New Roman"/>
                      <w:color w:val="auto"/>
                      <w:szCs w:val="21"/>
                    </w:rPr>
                  </w:pPr>
                  <w:r>
                    <w:rPr>
                      <w:rFonts w:eastAsia="Times New Roman"/>
                      <w:color w:val="auto"/>
                      <w:szCs w:val="21"/>
                    </w:rPr>
                    <w:t>五日生化需氧量(BOD₅)≤</w:t>
                  </w:r>
                </w:p>
              </w:tc>
              <w:tc>
                <w:tcPr>
                  <w:tcW w:w="2212" w:type="pct"/>
                  <w:tcBorders>
                    <w:tl2br w:val="nil"/>
                    <w:tr2bl w:val="nil"/>
                  </w:tcBorders>
                  <w:vAlign w:val="center"/>
                </w:tcPr>
                <w:p w14:paraId="1030F4D6">
                  <w:pPr>
                    <w:jc w:val="center"/>
                    <w:rPr>
                      <w:rFonts w:eastAsia="Times New Roman"/>
                      <w:color w:val="auto"/>
                      <w:szCs w:val="21"/>
                    </w:rPr>
                  </w:pPr>
                  <w:r>
                    <w:rPr>
                      <w:rFonts w:eastAsia="Times New Roman"/>
                      <w:color w:val="auto"/>
                      <w:szCs w:val="21"/>
                    </w:rPr>
                    <w:t>4</w:t>
                  </w:r>
                </w:p>
              </w:tc>
            </w:tr>
            <w:tr w14:paraId="73CDAF1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74" w:hRule="atLeast"/>
              </w:trPr>
              <w:tc>
                <w:tcPr>
                  <w:tcW w:w="845" w:type="pct"/>
                  <w:tcBorders>
                    <w:tl2br w:val="nil"/>
                    <w:tr2bl w:val="nil"/>
                  </w:tcBorders>
                  <w:vAlign w:val="center"/>
                </w:tcPr>
                <w:p w14:paraId="4672B73B">
                  <w:pPr>
                    <w:jc w:val="center"/>
                    <w:rPr>
                      <w:rFonts w:eastAsia="Times New Roman"/>
                      <w:color w:val="auto"/>
                      <w:szCs w:val="21"/>
                    </w:rPr>
                  </w:pPr>
                  <w:r>
                    <w:rPr>
                      <w:rFonts w:eastAsia="Times New Roman"/>
                      <w:color w:val="auto"/>
                      <w:szCs w:val="21"/>
                    </w:rPr>
                    <w:t>7</w:t>
                  </w:r>
                </w:p>
              </w:tc>
              <w:tc>
                <w:tcPr>
                  <w:tcW w:w="1941" w:type="pct"/>
                  <w:tcBorders>
                    <w:tl2br w:val="nil"/>
                    <w:tr2bl w:val="nil"/>
                  </w:tcBorders>
                  <w:vAlign w:val="center"/>
                </w:tcPr>
                <w:p w14:paraId="6020E6A5">
                  <w:pPr>
                    <w:jc w:val="center"/>
                    <w:rPr>
                      <w:rFonts w:eastAsia="Times New Roman"/>
                      <w:color w:val="auto"/>
                      <w:szCs w:val="21"/>
                    </w:rPr>
                  </w:pPr>
                  <w:r>
                    <w:rPr>
                      <w:rFonts w:eastAsia="Times New Roman"/>
                      <w:color w:val="auto"/>
                      <w:szCs w:val="21"/>
                    </w:rPr>
                    <w:t>氨氮(NH₃-N)≤</w:t>
                  </w:r>
                </w:p>
              </w:tc>
              <w:tc>
                <w:tcPr>
                  <w:tcW w:w="2212" w:type="pct"/>
                  <w:tcBorders>
                    <w:tl2br w:val="nil"/>
                    <w:tr2bl w:val="nil"/>
                  </w:tcBorders>
                  <w:vAlign w:val="center"/>
                </w:tcPr>
                <w:p w14:paraId="44503DAA">
                  <w:pPr>
                    <w:jc w:val="center"/>
                    <w:rPr>
                      <w:rFonts w:eastAsia="Times New Roman"/>
                      <w:color w:val="auto"/>
                      <w:szCs w:val="21"/>
                    </w:rPr>
                  </w:pPr>
                  <w:r>
                    <w:rPr>
                      <w:rFonts w:eastAsia="Times New Roman"/>
                      <w:color w:val="auto"/>
                      <w:szCs w:val="21"/>
                    </w:rPr>
                    <w:t>1.0</w:t>
                  </w:r>
                </w:p>
              </w:tc>
            </w:tr>
            <w:tr w14:paraId="5C48D39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790F059C">
                  <w:pPr>
                    <w:jc w:val="center"/>
                    <w:rPr>
                      <w:rFonts w:eastAsia="Times New Roman"/>
                      <w:color w:val="auto"/>
                      <w:szCs w:val="21"/>
                    </w:rPr>
                  </w:pPr>
                </w:p>
                <w:p w14:paraId="4F1AFA81">
                  <w:pPr>
                    <w:jc w:val="center"/>
                    <w:rPr>
                      <w:rFonts w:eastAsia="Times New Roman"/>
                      <w:color w:val="auto"/>
                      <w:szCs w:val="21"/>
                    </w:rPr>
                  </w:pPr>
                  <w:r>
                    <w:rPr>
                      <w:rFonts w:eastAsia="Times New Roman"/>
                      <w:color w:val="auto"/>
                      <w:szCs w:val="21"/>
                    </w:rPr>
                    <w:t>8</w:t>
                  </w:r>
                </w:p>
              </w:tc>
              <w:tc>
                <w:tcPr>
                  <w:tcW w:w="1941" w:type="pct"/>
                  <w:tcBorders>
                    <w:tl2br w:val="nil"/>
                    <w:tr2bl w:val="nil"/>
                  </w:tcBorders>
                  <w:vAlign w:val="center"/>
                </w:tcPr>
                <w:p w14:paraId="6A75218D">
                  <w:pPr>
                    <w:jc w:val="center"/>
                    <w:rPr>
                      <w:rFonts w:eastAsia="Times New Roman"/>
                      <w:color w:val="auto"/>
                      <w:szCs w:val="21"/>
                    </w:rPr>
                  </w:pPr>
                  <w:r>
                    <w:rPr>
                      <w:rFonts w:eastAsia="Times New Roman"/>
                      <w:color w:val="auto"/>
                      <w:szCs w:val="21"/>
                    </w:rPr>
                    <w:t>总磷(以P计)≤</w:t>
                  </w:r>
                </w:p>
              </w:tc>
              <w:tc>
                <w:tcPr>
                  <w:tcW w:w="2212" w:type="pct"/>
                  <w:tcBorders>
                    <w:tl2br w:val="nil"/>
                    <w:tr2bl w:val="nil"/>
                  </w:tcBorders>
                  <w:vAlign w:val="center"/>
                </w:tcPr>
                <w:p w14:paraId="0FDDEB0A">
                  <w:pPr>
                    <w:jc w:val="center"/>
                    <w:rPr>
                      <w:rFonts w:eastAsia="Times New Roman"/>
                      <w:color w:val="auto"/>
                      <w:szCs w:val="21"/>
                    </w:rPr>
                  </w:pPr>
                  <w:r>
                    <w:rPr>
                      <w:rFonts w:eastAsia="Times New Roman"/>
                      <w:color w:val="auto"/>
                      <w:szCs w:val="21"/>
                    </w:rPr>
                    <w:t>0.2(湖、库0.05)</w:t>
                  </w:r>
                </w:p>
              </w:tc>
            </w:tr>
            <w:tr w14:paraId="485C5C7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38B3772A">
                  <w:pPr>
                    <w:jc w:val="center"/>
                    <w:rPr>
                      <w:rFonts w:eastAsia="Times New Roman"/>
                      <w:color w:val="auto"/>
                      <w:szCs w:val="21"/>
                    </w:rPr>
                  </w:pPr>
                  <w:r>
                    <w:rPr>
                      <w:rFonts w:eastAsia="Times New Roman"/>
                      <w:color w:val="auto"/>
                      <w:szCs w:val="21"/>
                    </w:rPr>
                    <w:t>9</w:t>
                  </w:r>
                </w:p>
              </w:tc>
              <w:tc>
                <w:tcPr>
                  <w:tcW w:w="1941" w:type="pct"/>
                  <w:tcBorders>
                    <w:tl2br w:val="nil"/>
                    <w:tr2bl w:val="nil"/>
                  </w:tcBorders>
                  <w:vAlign w:val="center"/>
                </w:tcPr>
                <w:p w14:paraId="202BEF58">
                  <w:pPr>
                    <w:jc w:val="center"/>
                    <w:rPr>
                      <w:rFonts w:eastAsia="Times New Roman"/>
                      <w:color w:val="auto"/>
                      <w:szCs w:val="21"/>
                    </w:rPr>
                  </w:pPr>
                  <w:r>
                    <w:rPr>
                      <w:rFonts w:eastAsia="Times New Roman"/>
                      <w:color w:val="auto"/>
                      <w:szCs w:val="21"/>
                    </w:rPr>
                    <w:t>总氮(湖、库，以N计)≤</w:t>
                  </w:r>
                </w:p>
              </w:tc>
              <w:tc>
                <w:tcPr>
                  <w:tcW w:w="2212" w:type="pct"/>
                  <w:tcBorders>
                    <w:tl2br w:val="nil"/>
                    <w:tr2bl w:val="nil"/>
                  </w:tcBorders>
                  <w:vAlign w:val="center"/>
                </w:tcPr>
                <w:p w14:paraId="6CF556D3">
                  <w:pPr>
                    <w:jc w:val="center"/>
                    <w:rPr>
                      <w:rFonts w:eastAsia="Times New Roman"/>
                      <w:color w:val="auto"/>
                      <w:szCs w:val="21"/>
                    </w:rPr>
                  </w:pPr>
                  <w:r>
                    <w:rPr>
                      <w:rFonts w:eastAsia="Times New Roman"/>
                      <w:color w:val="auto"/>
                      <w:szCs w:val="21"/>
                    </w:rPr>
                    <w:t>1.0</w:t>
                  </w:r>
                </w:p>
              </w:tc>
            </w:tr>
            <w:tr w14:paraId="6FD6FCC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569988E4">
                  <w:pPr>
                    <w:jc w:val="center"/>
                    <w:rPr>
                      <w:rFonts w:eastAsia="Times New Roman"/>
                      <w:color w:val="auto"/>
                      <w:szCs w:val="21"/>
                    </w:rPr>
                  </w:pPr>
                  <w:r>
                    <w:rPr>
                      <w:rFonts w:eastAsia="Times New Roman"/>
                      <w:color w:val="auto"/>
                      <w:szCs w:val="21"/>
                    </w:rPr>
                    <w:t>10</w:t>
                  </w:r>
                </w:p>
              </w:tc>
              <w:tc>
                <w:tcPr>
                  <w:tcW w:w="1941" w:type="pct"/>
                  <w:tcBorders>
                    <w:tl2br w:val="nil"/>
                    <w:tr2bl w:val="nil"/>
                  </w:tcBorders>
                  <w:vAlign w:val="center"/>
                </w:tcPr>
                <w:p w14:paraId="7B590840">
                  <w:pPr>
                    <w:jc w:val="center"/>
                    <w:rPr>
                      <w:rFonts w:eastAsia="Times New Roman"/>
                      <w:color w:val="auto"/>
                      <w:szCs w:val="21"/>
                    </w:rPr>
                  </w:pPr>
                  <w:r>
                    <w:rPr>
                      <w:rFonts w:eastAsia="Times New Roman"/>
                      <w:color w:val="auto"/>
                      <w:szCs w:val="21"/>
                    </w:rPr>
                    <w:t>钢≤</w:t>
                  </w:r>
                </w:p>
              </w:tc>
              <w:tc>
                <w:tcPr>
                  <w:tcW w:w="2212" w:type="pct"/>
                  <w:tcBorders>
                    <w:tl2br w:val="nil"/>
                    <w:tr2bl w:val="nil"/>
                  </w:tcBorders>
                  <w:vAlign w:val="center"/>
                </w:tcPr>
                <w:p w14:paraId="0D65A044">
                  <w:pPr>
                    <w:jc w:val="center"/>
                    <w:rPr>
                      <w:rFonts w:eastAsia="Times New Roman"/>
                      <w:color w:val="auto"/>
                      <w:szCs w:val="21"/>
                    </w:rPr>
                  </w:pPr>
                  <w:r>
                    <w:rPr>
                      <w:rFonts w:eastAsia="Times New Roman"/>
                      <w:color w:val="auto"/>
                      <w:szCs w:val="21"/>
                    </w:rPr>
                    <w:t>1.0</w:t>
                  </w:r>
                </w:p>
              </w:tc>
            </w:tr>
            <w:tr w14:paraId="59B6C3B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0BE26143">
                  <w:pPr>
                    <w:jc w:val="center"/>
                    <w:rPr>
                      <w:rFonts w:eastAsia="Times New Roman"/>
                      <w:color w:val="auto"/>
                      <w:szCs w:val="21"/>
                    </w:rPr>
                  </w:pPr>
                  <w:r>
                    <w:rPr>
                      <w:rFonts w:eastAsia="Times New Roman"/>
                      <w:color w:val="auto"/>
                      <w:szCs w:val="21"/>
                    </w:rPr>
                    <w:t>11</w:t>
                  </w:r>
                </w:p>
              </w:tc>
              <w:tc>
                <w:tcPr>
                  <w:tcW w:w="1941" w:type="pct"/>
                  <w:tcBorders>
                    <w:tl2br w:val="nil"/>
                    <w:tr2bl w:val="nil"/>
                  </w:tcBorders>
                  <w:vAlign w:val="center"/>
                </w:tcPr>
                <w:p w14:paraId="6DA834BD">
                  <w:pPr>
                    <w:jc w:val="center"/>
                    <w:rPr>
                      <w:rFonts w:eastAsia="Times New Roman"/>
                      <w:color w:val="auto"/>
                      <w:szCs w:val="21"/>
                    </w:rPr>
                  </w:pPr>
                  <w:r>
                    <w:rPr>
                      <w:rFonts w:eastAsia="Times New Roman"/>
                      <w:color w:val="auto"/>
                      <w:szCs w:val="21"/>
                    </w:rPr>
                    <w:t>锌≤</w:t>
                  </w:r>
                </w:p>
              </w:tc>
              <w:tc>
                <w:tcPr>
                  <w:tcW w:w="2212" w:type="pct"/>
                  <w:tcBorders>
                    <w:tl2br w:val="nil"/>
                    <w:tr2bl w:val="nil"/>
                  </w:tcBorders>
                  <w:vAlign w:val="center"/>
                </w:tcPr>
                <w:p w14:paraId="06F480E6">
                  <w:pPr>
                    <w:jc w:val="center"/>
                    <w:rPr>
                      <w:rFonts w:eastAsia="Times New Roman"/>
                      <w:color w:val="auto"/>
                      <w:szCs w:val="21"/>
                    </w:rPr>
                  </w:pPr>
                  <w:r>
                    <w:rPr>
                      <w:rFonts w:eastAsia="Times New Roman"/>
                      <w:color w:val="auto"/>
                      <w:szCs w:val="21"/>
                    </w:rPr>
                    <w:t>1.0</w:t>
                  </w:r>
                </w:p>
              </w:tc>
            </w:tr>
            <w:tr w14:paraId="7367149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234A6C71">
                  <w:pPr>
                    <w:jc w:val="center"/>
                    <w:rPr>
                      <w:rFonts w:eastAsia="Times New Roman"/>
                      <w:color w:val="auto"/>
                      <w:szCs w:val="21"/>
                    </w:rPr>
                  </w:pPr>
                  <w:r>
                    <w:rPr>
                      <w:rFonts w:eastAsia="Times New Roman"/>
                      <w:color w:val="auto"/>
                      <w:szCs w:val="21"/>
                    </w:rPr>
                    <w:t>12</w:t>
                  </w:r>
                </w:p>
              </w:tc>
              <w:tc>
                <w:tcPr>
                  <w:tcW w:w="1941" w:type="pct"/>
                  <w:tcBorders>
                    <w:tl2br w:val="nil"/>
                    <w:tr2bl w:val="nil"/>
                  </w:tcBorders>
                  <w:vAlign w:val="center"/>
                </w:tcPr>
                <w:p w14:paraId="3F8436BA">
                  <w:pPr>
                    <w:jc w:val="center"/>
                    <w:rPr>
                      <w:rFonts w:eastAsia="Times New Roman"/>
                      <w:color w:val="auto"/>
                      <w:szCs w:val="21"/>
                    </w:rPr>
                  </w:pPr>
                  <w:r>
                    <w:rPr>
                      <w:rFonts w:eastAsia="Times New Roman"/>
                      <w:color w:val="auto"/>
                      <w:szCs w:val="21"/>
                    </w:rPr>
                    <w:t>氟化物(以F~计)≤</w:t>
                  </w:r>
                </w:p>
              </w:tc>
              <w:tc>
                <w:tcPr>
                  <w:tcW w:w="2212" w:type="pct"/>
                  <w:tcBorders>
                    <w:tl2br w:val="nil"/>
                    <w:tr2bl w:val="nil"/>
                  </w:tcBorders>
                  <w:vAlign w:val="center"/>
                </w:tcPr>
                <w:p w14:paraId="18F63FFF">
                  <w:pPr>
                    <w:jc w:val="center"/>
                    <w:rPr>
                      <w:rFonts w:eastAsia="Times New Roman"/>
                      <w:color w:val="auto"/>
                      <w:szCs w:val="21"/>
                    </w:rPr>
                  </w:pPr>
                  <w:r>
                    <w:rPr>
                      <w:rFonts w:eastAsia="Times New Roman"/>
                      <w:color w:val="auto"/>
                      <w:szCs w:val="21"/>
                    </w:rPr>
                    <w:t>1.0</w:t>
                  </w:r>
                </w:p>
              </w:tc>
            </w:tr>
            <w:tr w14:paraId="3BFC40B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75BC6E17">
                  <w:pPr>
                    <w:jc w:val="center"/>
                    <w:rPr>
                      <w:rFonts w:eastAsia="Times New Roman"/>
                      <w:color w:val="auto"/>
                      <w:szCs w:val="21"/>
                    </w:rPr>
                  </w:pPr>
                  <w:r>
                    <w:rPr>
                      <w:rFonts w:eastAsia="Times New Roman"/>
                      <w:color w:val="auto"/>
                      <w:szCs w:val="21"/>
                    </w:rPr>
                    <w:t>13</w:t>
                  </w:r>
                </w:p>
              </w:tc>
              <w:tc>
                <w:tcPr>
                  <w:tcW w:w="1941" w:type="pct"/>
                  <w:tcBorders>
                    <w:tl2br w:val="nil"/>
                    <w:tr2bl w:val="nil"/>
                  </w:tcBorders>
                  <w:vAlign w:val="center"/>
                </w:tcPr>
                <w:p w14:paraId="2254D863">
                  <w:pPr>
                    <w:jc w:val="center"/>
                    <w:rPr>
                      <w:rFonts w:eastAsia="Times New Roman"/>
                      <w:color w:val="auto"/>
                      <w:szCs w:val="21"/>
                    </w:rPr>
                  </w:pPr>
                  <w:r>
                    <w:rPr>
                      <w:rFonts w:eastAsia="Times New Roman"/>
                      <w:color w:val="auto"/>
                      <w:szCs w:val="21"/>
                    </w:rPr>
                    <w:t>硒≤</w:t>
                  </w:r>
                </w:p>
              </w:tc>
              <w:tc>
                <w:tcPr>
                  <w:tcW w:w="2212" w:type="pct"/>
                  <w:tcBorders>
                    <w:tl2br w:val="nil"/>
                    <w:tr2bl w:val="nil"/>
                  </w:tcBorders>
                  <w:vAlign w:val="center"/>
                </w:tcPr>
                <w:p w14:paraId="53391328">
                  <w:pPr>
                    <w:jc w:val="center"/>
                    <w:rPr>
                      <w:rFonts w:eastAsia="Times New Roman"/>
                      <w:color w:val="auto"/>
                      <w:szCs w:val="21"/>
                    </w:rPr>
                  </w:pPr>
                  <w:r>
                    <w:rPr>
                      <w:rFonts w:eastAsia="Times New Roman"/>
                      <w:color w:val="auto"/>
                      <w:szCs w:val="21"/>
                    </w:rPr>
                    <w:t>0.01</w:t>
                  </w:r>
                </w:p>
              </w:tc>
            </w:tr>
            <w:tr w14:paraId="3D444EA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6C8835D3">
                  <w:pPr>
                    <w:jc w:val="center"/>
                    <w:rPr>
                      <w:rFonts w:eastAsia="Times New Roman"/>
                      <w:color w:val="auto"/>
                      <w:szCs w:val="21"/>
                    </w:rPr>
                  </w:pPr>
                  <w:r>
                    <w:rPr>
                      <w:rFonts w:eastAsia="Times New Roman"/>
                      <w:color w:val="auto"/>
                      <w:szCs w:val="21"/>
                    </w:rPr>
                    <w:t>14</w:t>
                  </w:r>
                </w:p>
              </w:tc>
              <w:tc>
                <w:tcPr>
                  <w:tcW w:w="1941" w:type="pct"/>
                  <w:tcBorders>
                    <w:tl2br w:val="nil"/>
                    <w:tr2bl w:val="nil"/>
                  </w:tcBorders>
                  <w:vAlign w:val="center"/>
                </w:tcPr>
                <w:p w14:paraId="612CE776">
                  <w:pPr>
                    <w:jc w:val="center"/>
                    <w:rPr>
                      <w:rFonts w:eastAsia="Times New Roman"/>
                      <w:color w:val="auto"/>
                      <w:szCs w:val="21"/>
                    </w:rPr>
                  </w:pPr>
                  <w:r>
                    <w:rPr>
                      <w:rFonts w:eastAsia="Times New Roman"/>
                      <w:color w:val="auto"/>
                      <w:szCs w:val="21"/>
                    </w:rPr>
                    <w:t>砷≤</w:t>
                  </w:r>
                </w:p>
              </w:tc>
              <w:tc>
                <w:tcPr>
                  <w:tcW w:w="2212" w:type="pct"/>
                  <w:tcBorders>
                    <w:tl2br w:val="nil"/>
                    <w:tr2bl w:val="nil"/>
                  </w:tcBorders>
                  <w:vAlign w:val="center"/>
                </w:tcPr>
                <w:p w14:paraId="1360DE5D">
                  <w:pPr>
                    <w:jc w:val="center"/>
                    <w:rPr>
                      <w:rFonts w:eastAsia="Times New Roman"/>
                      <w:color w:val="auto"/>
                      <w:szCs w:val="21"/>
                    </w:rPr>
                  </w:pPr>
                  <w:r>
                    <w:rPr>
                      <w:rFonts w:eastAsia="Times New Roman"/>
                      <w:color w:val="auto"/>
                      <w:szCs w:val="21"/>
                    </w:rPr>
                    <w:t>0.05</w:t>
                  </w:r>
                </w:p>
              </w:tc>
            </w:tr>
            <w:tr w14:paraId="6A185B0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74" w:hRule="atLeast"/>
              </w:trPr>
              <w:tc>
                <w:tcPr>
                  <w:tcW w:w="845" w:type="pct"/>
                  <w:tcBorders>
                    <w:tl2br w:val="nil"/>
                    <w:tr2bl w:val="nil"/>
                  </w:tcBorders>
                  <w:vAlign w:val="center"/>
                </w:tcPr>
                <w:p w14:paraId="34B571CB">
                  <w:pPr>
                    <w:jc w:val="center"/>
                    <w:rPr>
                      <w:rFonts w:eastAsia="Times New Roman"/>
                      <w:color w:val="auto"/>
                      <w:szCs w:val="21"/>
                    </w:rPr>
                  </w:pPr>
                  <w:r>
                    <w:rPr>
                      <w:rFonts w:eastAsia="Times New Roman"/>
                      <w:color w:val="auto"/>
                      <w:szCs w:val="21"/>
                    </w:rPr>
                    <w:t>15</w:t>
                  </w:r>
                </w:p>
              </w:tc>
              <w:tc>
                <w:tcPr>
                  <w:tcW w:w="1941" w:type="pct"/>
                  <w:tcBorders>
                    <w:tl2br w:val="nil"/>
                    <w:tr2bl w:val="nil"/>
                  </w:tcBorders>
                  <w:vAlign w:val="center"/>
                </w:tcPr>
                <w:p w14:paraId="41D861E6">
                  <w:pPr>
                    <w:jc w:val="center"/>
                    <w:rPr>
                      <w:rFonts w:eastAsia="Times New Roman"/>
                      <w:color w:val="auto"/>
                      <w:szCs w:val="21"/>
                    </w:rPr>
                  </w:pPr>
                  <w:r>
                    <w:rPr>
                      <w:rFonts w:eastAsia="Times New Roman"/>
                      <w:color w:val="auto"/>
                      <w:szCs w:val="21"/>
                    </w:rPr>
                    <w:t>汞≤</w:t>
                  </w:r>
                </w:p>
              </w:tc>
              <w:tc>
                <w:tcPr>
                  <w:tcW w:w="2212" w:type="pct"/>
                  <w:tcBorders>
                    <w:tl2br w:val="nil"/>
                    <w:tr2bl w:val="nil"/>
                  </w:tcBorders>
                  <w:vAlign w:val="center"/>
                </w:tcPr>
                <w:p w14:paraId="00844AA6">
                  <w:pPr>
                    <w:jc w:val="center"/>
                    <w:rPr>
                      <w:rFonts w:eastAsia="Times New Roman"/>
                      <w:color w:val="auto"/>
                      <w:szCs w:val="21"/>
                    </w:rPr>
                  </w:pPr>
                  <w:r>
                    <w:rPr>
                      <w:rFonts w:eastAsia="Times New Roman"/>
                      <w:color w:val="auto"/>
                      <w:szCs w:val="21"/>
                    </w:rPr>
                    <w:t>0.0001</w:t>
                  </w:r>
                </w:p>
              </w:tc>
            </w:tr>
            <w:tr w14:paraId="3778D0E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0CE1E30D">
                  <w:pPr>
                    <w:jc w:val="center"/>
                    <w:rPr>
                      <w:rFonts w:eastAsia="Times New Roman"/>
                      <w:color w:val="auto"/>
                      <w:szCs w:val="21"/>
                    </w:rPr>
                  </w:pPr>
                  <w:r>
                    <w:rPr>
                      <w:rFonts w:eastAsia="Times New Roman"/>
                      <w:color w:val="auto"/>
                      <w:szCs w:val="21"/>
                    </w:rPr>
                    <w:t>16</w:t>
                  </w:r>
                </w:p>
              </w:tc>
              <w:tc>
                <w:tcPr>
                  <w:tcW w:w="1941" w:type="pct"/>
                  <w:tcBorders>
                    <w:tl2br w:val="nil"/>
                    <w:tr2bl w:val="nil"/>
                  </w:tcBorders>
                  <w:vAlign w:val="center"/>
                </w:tcPr>
                <w:p w14:paraId="0FF49E1E">
                  <w:pPr>
                    <w:jc w:val="center"/>
                    <w:rPr>
                      <w:rFonts w:eastAsia="Times New Roman"/>
                      <w:color w:val="auto"/>
                      <w:szCs w:val="21"/>
                    </w:rPr>
                  </w:pPr>
                  <w:r>
                    <w:rPr>
                      <w:rFonts w:eastAsia="Times New Roman"/>
                      <w:color w:val="auto"/>
                      <w:szCs w:val="21"/>
                    </w:rPr>
                    <w:t>镉≤</w:t>
                  </w:r>
                </w:p>
              </w:tc>
              <w:tc>
                <w:tcPr>
                  <w:tcW w:w="2212" w:type="pct"/>
                  <w:tcBorders>
                    <w:tl2br w:val="nil"/>
                    <w:tr2bl w:val="nil"/>
                  </w:tcBorders>
                  <w:vAlign w:val="center"/>
                </w:tcPr>
                <w:p w14:paraId="5E9E971B">
                  <w:pPr>
                    <w:jc w:val="center"/>
                    <w:rPr>
                      <w:rFonts w:eastAsia="Times New Roman"/>
                      <w:color w:val="auto"/>
                      <w:szCs w:val="21"/>
                    </w:rPr>
                  </w:pPr>
                  <w:r>
                    <w:rPr>
                      <w:rFonts w:eastAsia="Times New Roman"/>
                      <w:color w:val="auto"/>
                      <w:szCs w:val="21"/>
                    </w:rPr>
                    <w:t>0.005</w:t>
                  </w:r>
                </w:p>
              </w:tc>
            </w:tr>
            <w:tr w14:paraId="77C3B17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77724B33">
                  <w:pPr>
                    <w:jc w:val="center"/>
                    <w:rPr>
                      <w:rFonts w:eastAsia="Times New Roman"/>
                      <w:color w:val="auto"/>
                      <w:szCs w:val="21"/>
                    </w:rPr>
                  </w:pPr>
                  <w:r>
                    <w:rPr>
                      <w:rFonts w:eastAsia="Times New Roman"/>
                      <w:color w:val="auto"/>
                      <w:szCs w:val="21"/>
                    </w:rPr>
                    <w:t>17</w:t>
                  </w:r>
                </w:p>
              </w:tc>
              <w:tc>
                <w:tcPr>
                  <w:tcW w:w="1941" w:type="pct"/>
                  <w:tcBorders>
                    <w:tl2br w:val="nil"/>
                    <w:tr2bl w:val="nil"/>
                  </w:tcBorders>
                  <w:vAlign w:val="center"/>
                </w:tcPr>
                <w:p w14:paraId="600DD6A8">
                  <w:pPr>
                    <w:jc w:val="center"/>
                    <w:rPr>
                      <w:rFonts w:eastAsia="Times New Roman"/>
                      <w:color w:val="auto"/>
                      <w:szCs w:val="21"/>
                    </w:rPr>
                  </w:pPr>
                  <w:r>
                    <w:rPr>
                      <w:rFonts w:eastAsia="Times New Roman"/>
                      <w:color w:val="auto"/>
                      <w:szCs w:val="21"/>
                    </w:rPr>
                    <w:t>铬(六价)≤</w:t>
                  </w:r>
                </w:p>
              </w:tc>
              <w:tc>
                <w:tcPr>
                  <w:tcW w:w="2212" w:type="pct"/>
                  <w:tcBorders>
                    <w:tl2br w:val="nil"/>
                    <w:tr2bl w:val="nil"/>
                  </w:tcBorders>
                  <w:vAlign w:val="center"/>
                </w:tcPr>
                <w:p w14:paraId="5F659143">
                  <w:pPr>
                    <w:jc w:val="center"/>
                    <w:rPr>
                      <w:rFonts w:eastAsia="Times New Roman"/>
                      <w:color w:val="auto"/>
                      <w:szCs w:val="21"/>
                    </w:rPr>
                  </w:pPr>
                  <w:r>
                    <w:rPr>
                      <w:rFonts w:eastAsia="Times New Roman"/>
                      <w:color w:val="auto"/>
                      <w:szCs w:val="21"/>
                    </w:rPr>
                    <w:t>0.05</w:t>
                  </w:r>
                </w:p>
              </w:tc>
            </w:tr>
            <w:tr w14:paraId="0E7ECF8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15A0A52C">
                  <w:pPr>
                    <w:jc w:val="center"/>
                    <w:rPr>
                      <w:rFonts w:eastAsia="Times New Roman"/>
                      <w:color w:val="auto"/>
                      <w:szCs w:val="21"/>
                    </w:rPr>
                  </w:pPr>
                  <w:r>
                    <w:rPr>
                      <w:rFonts w:eastAsia="Times New Roman"/>
                      <w:color w:val="auto"/>
                      <w:szCs w:val="21"/>
                    </w:rPr>
                    <w:t>18</w:t>
                  </w:r>
                </w:p>
              </w:tc>
              <w:tc>
                <w:tcPr>
                  <w:tcW w:w="1941" w:type="pct"/>
                  <w:tcBorders>
                    <w:tl2br w:val="nil"/>
                    <w:tr2bl w:val="nil"/>
                  </w:tcBorders>
                  <w:vAlign w:val="center"/>
                </w:tcPr>
                <w:p w14:paraId="399E6601">
                  <w:pPr>
                    <w:jc w:val="center"/>
                    <w:rPr>
                      <w:rFonts w:eastAsia="Times New Roman"/>
                      <w:color w:val="auto"/>
                      <w:szCs w:val="21"/>
                    </w:rPr>
                  </w:pPr>
                  <w:r>
                    <w:rPr>
                      <w:rFonts w:eastAsia="Times New Roman"/>
                      <w:color w:val="auto"/>
                      <w:szCs w:val="21"/>
                    </w:rPr>
                    <w:t>铅≤</w:t>
                  </w:r>
                </w:p>
              </w:tc>
              <w:tc>
                <w:tcPr>
                  <w:tcW w:w="2212" w:type="pct"/>
                  <w:tcBorders>
                    <w:tl2br w:val="nil"/>
                    <w:tr2bl w:val="nil"/>
                  </w:tcBorders>
                  <w:vAlign w:val="center"/>
                </w:tcPr>
                <w:p w14:paraId="607BF1ED">
                  <w:pPr>
                    <w:jc w:val="center"/>
                    <w:rPr>
                      <w:rFonts w:eastAsia="Times New Roman"/>
                      <w:color w:val="auto"/>
                      <w:szCs w:val="21"/>
                    </w:rPr>
                  </w:pPr>
                  <w:r>
                    <w:rPr>
                      <w:rFonts w:eastAsia="Times New Roman"/>
                      <w:color w:val="auto"/>
                      <w:szCs w:val="21"/>
                    </w:rPr>
                    <w:t>0.05</w:t>
                  </w:r>
                </w:p>
              </w:tc>
            </w:tr>
            <w:tr w14:paraId="30B62B9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46E05FB6">
                  <w:pPr>
                    <w:jc w:val="center"/>
                    <w:rPr>
                      <w:rFonts w:eastAsia="Times New Roman"/>
                      <w:color w:val="auto"/>
                      <w:szCs w:val="21"/>
                    </w:rPr>
                  </w:pPr>
                  <w:r>
                    <w:rPr>
                      <w:rFonts w:eastAsia="Times New Roman"/>
                      <w:color w:val="auto"/>
                      <w:szCs w:val="21"/>
                    </w:rPr>
                    <w:t>19</w:t>
                  </w:r>
                </w:p>
              </w:tc>
              <w:tc>
                <w:tcPr>
                  <w:tcW w:w="1941" w:type="pct"/>
                  <w:tcBorders>
                    <w:tl2br w:val="nil"/>
                    <w:tr2bl w:val="nil"/>
                  </w:tcBorders>
                  <w:vAlign w:val="center"/>
                </w:tcPr>
                <w:p w14:paraId="1B78A7CC">
                  <w:pPr>
                    <w:jc w:val="center"/>
                    <w:rPr>
                      <w:rFonts w:eastAsia="Times New Roman"/>
                      <w:color w:val="auto"/>
                      <w:szCs w:val="21"/>
                    </w:rPr>
                  </w:pPr>
                  <w:r>
                    <w:rPr>
                      <w:rFonts w:eastAsia="Times New Roman"/>
                      <w:color w:val="auto"/>
                      <w:szCs w:val="21"/>
                    </w:rPr>
                    <w:t>氰化物≤</w:t>
                  </w:r>
                </w:p>
              </w:tc>
              <w:tc>
                <w:tcPr>
                  <w:tcW w:w="2212" w:type="pct"/>
                  <w:tcBorders>
                    <w:tl2br w:val="nil"/>
                    <w:tr2bl w:val="nil"/>
                  </w:tcBorders>
                  <w:vAlign w:val="center"/>
                </w:tcPr>
                <w:p w14:paraId="0E069421">
                  <w:pPr>
                    <w:jc w:val="center"/>
                    <w:rPr>
                      <w:rFonts w:eastAsia="Times New Roman"/>
                      <w:color w:val="auto"/>
                      <w:szCs w:val="21"/>
                    </w:rPr>
                  </w:pPr>
                  <w:r>
                    <w:rPr>
                      <w:rFonts w:eastAsia="Times New Roman"/>
                      <w:color w:val="auto"/>
                      <w:szCs w:val="21"/>
                    </w:rPr>
                    <w:t>0.2</w:t>
                  </w:r>
                </w:p>
              </w:tc>
            </w:tr>
            <w:tr w14:paraId="03A6864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44689514">
                  <w:pPr>
                    <w:jc w:val="center"/>
                    <w:rPr>
                      <w:rFonts w:eastAsia="Times New Roman"/>
                      <w:color w:val="auto"/>
                      <w:szCs w:val="21"/>
                    </w:rPr>
                  </w:pPr>
                  <w:r>
                    <w:rPr>
                      <w:rFonts w:eastAsia="Times New Roman"/>
                      <w:color w:val="auto"/>
                      <w:szCs w:val="21"/>
                    </w:rPr>
                    <w:t>20</w:t>
                  </w:r>
                </w:p>
              </w:tc>
              <w:tc>
                <w:tcPr>
                  <w:tcW w:w="1941" w:type="pct"/>
                  <w:tcBorders>
                    <w:tl2br w:val="nil"/>
                    <w:tr2bl w:val="nil"/>
                  </w:tcBorders>
                  <w:vAlign w:val="center"/>
                </w:tcPr>
                <w:p w14:paraId="3FE131E4">
                  <w:pPr>
                    <w:jc w:val="center"/>
                    <w:rPr>
                      <w:rFonts w:eastAsia="Times New Roman"/>
                      <w:color w:val="auto"/>
                      <w:szCs w:val="21"/>
                    </w:rPr>
                  </w:pPr>
                  <w:r>
                    <w:rPr>
                      <w:rFonts w:eastAsia="Times New Roman"/>
                      <w:color w:val="auto"/>
                      <w:szCs w:val="21"/>
                    </w:rPr>
                    <w:t>挥发酚≤</w:t>
                  </w:r>
                </w:p>
              </w:tc>
              <w:tc>
                <w:tcPr>
                  <w:tcW w:w="2212" w:type="pct"/>
                  <w:tcBorders>
                    <w:tl2br w:val="nil"/>
                    <w:tr2bl w:val="nil"/>
                  </w:tcBorders>
                  <w:vAlign w:val="center"/>
                </w:tcPr>
                <w:p w14:paraId="0C62FBBF">
                  <w:pPr>
                    <w:jc w:val="center"/>
                    <w:rPr>
                      <w:rFonts w:eastAsia="Times New Roman"/>
                      <w:color w:val="auto"/>
                      <w:szCs w:val="21"/>
                    </w:rPr>
                  </w:pPr>
                  <w:r>
                    <w:rPr>
                      <w:rFonts w:eastAsia="Times New Roman"/>
                      <w:color w:val="auto"/>
                      <w:szCs w:val="21"/>
                    </w:rPr>
                    <w:t>0.005</w:t>
                  </w:r>
                </w:p>
              </w:tc>
            </w:tr>
            <w:tr w14:paraId="0029293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2ED622D3">
                  <w:pPr>
                    <w:jc w:val="center"/>
                    <w:rPr>
                      <w:rFonts w:eastAsia="Times New Roman"/>
                      <w:color w:val="auto"/>
                      <w:szCs w:val="21"/>
                    </w:rPr>
                  </w:pPr>
                  <w:r>
                    <w:rPr>
                      <w:rFonts w:eastAsia="Times New Roman"/>
                      <w:color w:val="auto"/>
                      <w:szCs w:val="21"/>
                    </w:rPr>
                    <w:t>21</w:t>
                  </w:r>
                </w:p>
              </w:tc>
              <w:tc>
                <w:tcPr>
                  <w:tcW w:w="1941" w:type="pct"/>
                  <w:tcBorders>
                    <w:tl2br w:val="nil"/>
                    <w:tr2bl w:val="nil"/>
                  </w:tcBorders>
                  <w:vAlign w:val="center"/>
                </w:tcPr>
                <w:p w14:paraId="1A5F1816">
                  <w:pPr>
                    <w:jc w:val="center"/>
                    <w:rPr>
                      <w:rFonts w:eastAsia="Times New Roman"/>
                      <w:color w:val="auto"/>
                      <w:szCs w:val="21"/>
                    </w:rPr>
                  </w:pPr>
                  <w:r>
                    <w:rPr>
                      <w:rFonts w:eastAsia="Times New Roman"/>
                      <w:color w:val="auto"/>
                      <w:szCs w:val="21"/>
                    </w:rPr>
                    <w:t>石油类≤</w:t>
                  </w:r>
                </w:p>
              </w:tc>
              <w:tc>
                <w:tcPr>
                  <w:tcW w:w="2212" w:type="pct"/>
                  <w:tcBorders>
                    <w:tl2br w:val="nil"/>
                    <w:tr2bl w:val="nil"/>
                  </w:tcBorders>
                  <w:vAlign w:val="center"/>
                </w:tcPr>
                <w:p w14:paraId="61E70D46">
                  <w:pPr>
                    <w:jc w:val="center"/>
                    <w:rPr>
                      <w:rFonts w:eastAsia="Times New Roman"/>
                      <w:color w:val="auto"/>
                      <w:szCs w:val="21"/>
                    </w:rPr>
                  </w:pPr>
                  <w:r>
                    <w:rPr>
                      <w:rFonts w:eastAsia="Times New Roman"/>
                      <w:color w:val="auto"/>
                      <w:szCs w:val="21"/>
                    </w:rPr>
                    <w:t>0.05</w:t>
                  </w:r>
                </w:p>
              </w:tc>
            </w:tr>
            <w:tr w14:paraId="3E72BDC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23D390B9">
                  <w:pPr>
                    <w:jc w:val="center"/>
                    <w:rPr>
                      <w:rFonts w:eastAsia="Times New Roman"/>
                      <w:color w:val="auto"/>
                      <w:szCs w:val="21"/>
                    </w:rPr>
                  </w:pPr>
                  <w:r>
                    <w:rPr>
                      <w:rFonts w:eastAsia="Times New Roman"/>
                      <w:color w:val="auto"/>
                      <w:szCs w:val="21"/>
                    </w:rPr>
                    <w:t>22</w:t>
                  </w:r>
                </w:p>
              </w:tc>
              <w:tc>
                <w:tcPr>
                  <w:tcW w:w="1941" w:type="pct"/>
                  <w:tcBorders>
                    <w:tl2br w:val="nil"/>
                    <w:tr2bl w:val="nil"/>
                  </w:tcBorders>
                  <w:vAlign w:val="center"/>
                </w:tcPr>
                <w:p w14:paraId="29892169">
                  <w:pPr>
                    <w:jc w:val="center"/>
                    <w:rPr>
                      <w:rFonts w:eastAsia="Times New Roman"/>
                      <w:color w:val="auto"/>
                      <w:szCs w:val="21"/>
                    </w:rPr>
                  </w:pPr>
                  <w:r>
                    <w:rPr>
                      <w:rFonts w:eastAsia="Times New Roman"/>
                      <w:color w:val="auto"/>
                      <w:szCs w:val="21"/>
                    </w:rPr>
                    <w:t>阴离子表面活性剂≤</w:t>
                  </w:r>
                </w:p>
              </w:tc>
              <w:tc>
                <w:tcPr>
                  <w:tcW w:w="2212" w:type="pct"/>
                  <w:tcBorders>
                    <w:tl2br w:val="nil"/>
                    <w:tr2bl w:val="nil"/>
                  </w:tcBorders>
                  <w:vAlign w:val="center"/>
                </w:tcPr>
                <w:p w14:paraId="0F07AA58">
                  <w:pPr>
                    <w:jc w:val="center"/>
                    <w:rPr>
                      <w:rFonts w:eastAsia="Times New Roman"/>
                      <w:color w:val="auto"/>
                      <w:szCs w:val="21"/>
                    </w:rPr>
                  </w:pPr>
                  <w:r>
                    <w:rPr>
                      <w:rFonts w:eastAsia="Times New Roman"/>
                      <w:color w:val="auto"/>
                      <w:szCs w:val="21"/>
                    </w:rPr>
                    <w:t>0.2</w:t>
                  </w:r>
                </w:p>
              </w:tc>
            </w:tr>
            <w:tr w14:paraId="48CA22D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5EBB01A8">
                  <w:pPr>
                    <w:jc w:val="center"/>
                    <w:rPr>
                      <w:rFonts w:eastAsia="Times New Roman"/>
                      <w:color w:val="auto"/>
                      <w:szCs w:val="21"/>
                    </w:rPr>
                  </w:pPr>
                  <w:r>
                    <w:rPr>
                      <w:rFonts w:eastAsia="Times New Roman"/>
                      <w:color w:val="auto"/>
                      <w:szCs w:val="21"/>
                    </w:rPr>
                    <w:t>23</w:t>
                  </w:r>
                </w:p>
              </w:tc>
              <w:tc>
                <w:tcPr>
                  <w:tcW w:w="1941" w:type="pct"/>
                  <w:tcBorders>
                    <w:tl2br w:val="nil"/>
                    <w:tr2bl w:val="nil"/>
                  </w:tcBorders>
                  <w:vAlign w:val="center"/>
                </w:tcPr>
                <w:p w14:paraId="2AC90730">
                  <w:pPr>
                    <w:jc w:val="center"/>
                    <w:rPr>
                      <w:rFonts w:eastAsia="Times New Roman"/>
                      <w:color w:val="auto"/>
                      <w:szCs w:val="21"/>
                    </w:rPr>
                  </w:pPr>
                  <w:r>
                    <w:rPr>
                      <w:rFonts w:eastAsia="Times New Roman"/>
                      <w:color w:val="auto"/>
                      <w:szCs w:val="21"/>
                    </w:rPr>
                    <w:t>硫化物≤</w:t>
                  </w:r>
                </w:p>
              </w:tc>
              <w:tc>
                <w:tcPr>
                  <w:tcW w:w="2212" w:type="pct"/>
                  <w:tcBorders>
                    <w:tl2br w:val="nil"/>
                    <w:tr2bl w:val="nil"/>
                  </w:tcBorders>
                  <w:vAlign w:val="center"/>
                </w:tcPr>
                <w:p w14:paraId="2A0397ED">
                  <w:pPr>
                    <w:jc w:val="center"/>
                    <w:rPr>
                      <w:rFonts w:eastAsia="Times New Roman"/>
                      <w:color w:val="auto"/>
                      <w:szCs w:val="21"/>
                    </w:rPr>
                  </w:pPr>
                  <w:r>
                    <w:rPr>
                      <w:rFonts w:eastAsia="Times New Roman"/>
                      <w:color w:val="auto"/>
                      <w:szCs w:val="21"/>
                    </w:rPr>
                    <w:t>0.2</w:t>
                  </w:r>
                </w:p>
              </w:tc>
            </w:tr>
            <w:tr w14:paraId="349DF2A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45" w:type="pct"/>
                  <w:tcBorders>
                    <w:tl2br w:val="nil"/>
                    <w:tr2bl w:val="nil"/>
                  </w:tcBorders>
                  <w:vAlign w:val="center"/>
                </w:tcPr>
                <w:p w14:paraId="51C6BBDA">
                  <w:pPr>
                    <w:jc w:val="center"/>
                    <w:rPr>
                      <w:rFonts w:eastAsia="Times New Roman"/>
                      <w:color w:val="auto"/>
                      <w:szCs w:val="21"/>
                    </w:rPr>
                  </w:pPr>
                  <w:r>
                    <w:rPr>
                      <w:rFonts w:eastAsia="Times New Roman"/>
                      <w:color w:val="auto"/>
                      <w:szCs w:val="21"/>
                    </w:rPr>
                    <w:t>24</w:t>
                  </w:r>
                </w:p>
              </w:tc>
              <w:tc>
                <w:tcPr>
                  <w:tcW w:w="1941" w:type="pct"/>
                  <w:tcBorders>
                    <w:tl2br w:val="nil"/>
                    <w:tr2bl w:val="nil"/>
                  </w:tcBorders>
                  <w:vAlign w:val="center"/>
                </w:tcPr>
                <w:p w14:paraId="5CC9588F">
                  <w:pPr>
                    <w:jc w:val="center"/>
                    <w:rPr>
                      <w:rFonts w:eastAsia="Times New Roman"/>
                      <w:color w:val="auto"/>
                      <w:szCs w:val="21"/>
                    </w:rPr>
                  </w:pPr>
                  <w:r>
                    <w:rPr>
                      <w:rFonts w:eastAsia="Times New Roman"/>
                      <w:color w:val="auto"/>
                      <w:szCs w:val="21"/>
                    </w:rPr>
                    <w:t>美大肠菌群(个/L)≤;200</w:t>
                  </w:r>
                </w:p>
              </w:tc>
              <w:tc>
                <w:tcPr>
                  <w:tcW w:w="2212" w:type="pct"/>
                  <w:tcBorders>
                    <w:tl2br w:val="nil"/>
                    <w:tr2bl w:val="nil"/>
                  </w:tcBorders>
                  <w:vAlign w:val="center"/>
                </w:tcPr>
                <w:p w14:paraId="743920FB">
                  <w:pPr>
                    <w:jc w:val="center"/>
                    <w:rPr>
                      <w:rFonts w:eastAsia="Times New Roman"/>
                      <w:color w:val="auto"/>
                      <w:szCs w:val="21"/>
                    </w:rPr>
                  </w:pPr>
                  <w:r>
                    <w:rPr>
                      <w:rFonts w:eastAsia="Times New Roman"/>
                      <w:color w:val="auto"/>
                      <w:szCs w:val="21"/>
                    </w:rPr>
                    <w:t>10000</w:t>
                  </w:r>
                </w:p>
              </w:tc>
            </w:tr>
          </w:tbl>
          <w:p w14:paraId="27449677">
            <w:pPr>
              <w:spacing w:line="360" w:lineRule="auto"/>
              <w:rPr>
                <w:rFonts w:eastAsia="Times New Roman"/>
                <w:color w:val="auto"/>
                <w:sz w:val="24"/>
              </w:rPr>
            </w:pPr>
          </w:p>
          <w:p w14:paraId="16BAD20B">
            <w:pPr>
              <w:spacing w:line="360" w:lineRule="auto"/>
              <w:ind w:firstLine="480"/>
              <w:rPr>
                <w:rFonts w:eastAsia="Times New Roman"/>
                <w:color w:val="auto"/>
                <w:sz w:val="24"/>
              </w:rPr>
            </w:pPr>
            <w:r>
              <w:rPr>
                <w:rFonts w:eastAsia="Times New Roman"/>
                <w:color w:val="auto"/>
                <w:sz w:val="24"/>
              </w:rPr>
              <w:t>2.污染物排放控制标准</w:t>
            </w:r>
          </w:p>
          <w:p w14:paraId="6643151D">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（1）大气</w:t>
            </w:r>
          </w:p>
          <w:p w14:paraId="05247609">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本项目运营期不产生废气。</w:t>
            </w:r>
          </w:p>
          <w:p w14:paraId="57B31D21">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（2）废水</w:t>
            </w:r>
          </w:p>
          <w:p w14:paraId="70349C2D">
            <w:pPr>
              <w:spacing w:line="360" w:lineRule="auto"/>
              <w:ind w:firstLine="480"/>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本项目运营期生活污水依托现有一体化处理设备进行二级处理，回用于鄂温克电厂用水。废水满足《污水综合排放标准》GB8978—1996表4一级标准。</w:t>
            </w:r>
          </w:p>
          <w:p w14:paraId="51E6E258">
            <w:pPr>
              <w:spacing w:line="360" w:lineRule="auto"/>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表3-</w:t>
            </w:r>
            <w:r>
              <w:rPr>
                <w:rFonts w:hint="eastAsia" w:cs="Times New Roman"/>
                <w:b/>
                <w:bCs/>
                <w:color w:val="auto"/>
                <w:szCs w:val="21"/>
                <w:lang w:val="en-US" w:eastAsia="zh-CN"/>
              </w:rPr>
              <w:t>16</w:t>
            </w:r>
            <w:r>
              <w:rPr>
                <w:rFonts w:hint="eastAsia" w:ascii="Times New Roman" w:hAnsi="Times New Roman" w:eastAsia="宋体" w:cs="Times New Roman"/>
                <w:b/>
                <w:bCs/>
                <w:color w:val="auto"/>
                <w:szCs w:val="21"/>
                <w:lang w:val="en-US" w:eastAsia="zh-CN"/>
              </w:rPr>
              <w:t xml:space="preserve">    </w:t>
            </w:r>
            <w:r>
              <w:rPr>
                <w:rFonts w:hint="eastAsia" w:cs="Times New Roman"/>
                <w:b/>
                <w:bCs/>
                <w:color w:val="auto"/>
                <w:szCs w:val="21"/>
                <w:lang w:val="en-US" w:eastAsia="zh-CN"/>
              </w:rPr>
              <w:t>废水排放标准</w:t>
            </w:r>
          </w:p>
          <w:tbl>
            <w:tblPr>
              <w:tblStyle w:val="19"/>
              <w:tblW w:w="4998" w:type="pct"/>
              <w:jc w:val="center"/>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981"/>
              <w:gridCol w:w="1243"/>
              <w:gridCol w:w="1232"/>
              <w:gridCol w:w="1170"/>
              <w:gridCol w:w="1191"/>
              <w:gridCol w:w="1559"/>
            </w:tblGrid>
            <w:tr w14:paraId="6BF43FA8">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PrEx>
              <w:trPr>
                <w:trHeight w:val="374" w:hRule="atLeast"/>
                <w:jc w:val="center"/>
              </w:trPr>
              <w:tc>
                <w:tcPr>
                  <w:tcW w:w="1182" w:type="pct"/>
                  <w:tcBorders>
                    <w:tl2br w:val="nil"/>
                    <w:tr2bl w:val="nil"/>
                  </w:tcBorders>
                  <w:vAlign w:val="center"/>
                </w:tcPr>
                <w:p w14:paraId="15F5D0AB">
                  <w:pPr>
                    <w:widowControl/>
                    <w:jc w:val="center"/>
                    <w:rPr>
                      <w:color w:val="auto"/>
                      <w:kern w:val="0"/>
                      <w:szCs w:val="21"/>
                    </w:rPr>
                  </w:pPr>
                  <w:r>
                    <w:rPr>
                      <w:color w:val="auto"/>
                      <w:kern w:val="0"/>
                      <w:szCs w:val="21"/>
                    </w:rPr>
                    <w:t>污染物</w:t>
                  </w:r>
                </w:p>
              </w:tc>
              <w:tc>
                <w:tcPr>
                  <w:tcW w:w="742" w:type="pct"/>
                  <w:tcBorders>
                    <w:tl2br w:val="nil"/>
                    <w:tr2bl w:val="nil"/>
                  </w:tcBorders>
                  <w:vAlign w:val="center"/>
                </w:tcPr>
                <w:p w14:paraId="3F005D6A">
                  <w:pPr>
                    <w:widowControl/>
                    <w:jc w:val="center"/>
                    <w:rPr>
                      <w:color w:val="auto"/>
                      <w:kern w:val="0"/>
                      <w:szCs w:val="21"/>
                    </w:rPr>
                  </w:pPr>
                  <w:r>
                    <w:rPr>
                      <w:color w:val="auto"/>
                      <w:kern w:val="0"/>
                      <w:szCs w:val="21"/>
                    </w:rPr>
                    <w:t xml:space="preserve">COD </w:t>
                  </w:r>
                </w:p>
              </w:tc>
              <w:tc>
                <w:tcPr>
                  <w:tcW w:w="735" w:type="pct"/>
                  <w:tcBorders>
                    <w:tl2br w:val="nil"/>
                    <w:tr2bl w:val="nil"/>
                  </w:tcBorders>
                  <w:vAlign w:val="center"/>
                </w:tcPr>
                <w:p w14:paraId="1D81DF75">
                  <w:pPr>
                    <w:widowControl/>
                    <w:jc w:val="center"/>
                    <w:rPr>
                      <w:color w:val="auto"/>
                      <w:kern w:val="0"/>
                      <w:szCs w:val="21"/>
                    </w:rPr>
                  </w:pPr>
                  <w:r>
                    <w:rPr>
                      <w:color w:val="auto"/>
                      <w:kern w:val="0"/>
                      <w:szCs w:val="21"/>
                    </w:rPr>
                    <w:t>BOD</w:t>
                  </w:r>
                  <w:r>
                    <w:rPr>
                      <w:color w:val="auto"/>
                      <w:kern w:val="0"/>
                      <w:szCs w:val="21"/>
                      <w:vertAlign w:val="subscript"/>
                    </w:rPr>
                    <w:t>5</w:t>
                  </w:r>
                </w:p>
              </w:tc>
              <w:tc>
                <w:tcPr>
                  <w:tcW w:w="698" w:type="pct"/>
                  <w:tcBorders>
                    <w:tl2br w:val="nil"/>
                    <w:tr2bl w:val="nil"/>
                  </w:tcBorders>
                  <w:vAlign w:val="center"/>
                </w:tcPr>
                <w:p w14:paraId="6F0F33D1">
                  <w:pPr>
                    <w:widowControl/>
                    <w:jc w:val="center"/>
                    <w:rPr>
                      <w:color w:val="auto"/>
                      <w:kern w:val="0"/>
                      <w:szCs w:val="21"/>
                    </w:rPr>
                  </w:pPr>
                  <w:r>
                    <w:rPr>
                      <w:color w:val="auto"/>
                      <w:kern w:val="0"/>
                      <w:szCs w:val="21"/>
                    </w:rPr>
                    <w:t>NH</w:t>
                  </w:r>
                  <w:r>
                    <w:rPr>
                      <w:color w:val="auto"/>
                      <w:kern w:val="0"/>
                      <w:szCs w:val="21"/>
                      <w:vertAlign w:val="subscript"/>
                    </w:rPr>
                    <w:t>3</w:t>
                  </w:r>
                  <w:r>
                    <w:rPr>
                      <w:color w:val="auto"/>
                      <w:kern w:val="0"/>
                      <w:szCs w:val="21"/>
                    </w:rPr>
                    <w:t>-N</w:t>
                  </w:r>
                </w:p>
              </w:tc>
              <w:tc>
                <w:tcPr>
                  <w:tcW w:w="711" w:type="pct"/>
                  <w:tcBorders>
                    <w:tl2br w:val="nil"/>
                    <w:tr2bl w:val="nil"/>
                  </w:tcBorders>
                  <w:vAlign w:val="center"/>
                </w:tcPr>
                <w:p w14:paraId="20246422">
                  <w:pPr>
                    <w:widowControl/>
                    <w:jc w:val="center"/>
                    <w:rPr>
                      <w:color w:val="auto"/>
                      <w:kern w:val="0"/>
                      <w:szCs w:val="21"/>
                    </w:rPr>
                  </w:pPr>
                  <w:r>
                    <w:rPr>
                      <w:color w:val="auto"/>
                      <w:kern w:val="0"/>
                      <w:szCs w:val="21"/>
                    </w:rPr>
                    <w:t>SS</w:t>
                  </w:r>
                </w:p>
              </w:tc>
              <w:tc>
                <w:tcPr>
                  <w:tcW w:w="930" w:type="pct"/>
                  <w:tcBorders>
                    <w:tl2br w:val="nil"/>
                    <w:tr2bl w:val="nil"/>
                  </w:tcBorders>
                  <w:vAlign w:val="center"/>
                </w:tcPr>
                <w:p w14:paraId="37B668F9">
                  <w:pPr>
                    <w:widowControl/>
                    <w:jc w:val="center"/>
                    <w:rPr>
                      <w:color w:val="auto"/>
                      <w:kern w:val="0"/>
                      <w:szCs w:val="21"/>
                    </w:rPr>
                  </w:pPr>
                  <w:r>
                    <w:rPr>
                      <w:color w:val="auto"/>
                      <w:kern w:val="0"/>
                      <w:szCs w:val="21"/>
                    </w:rPr>
                    <w:t>pH</w:t>
                  </w:r>
                </w:p>
              </w:tc>
            </w:tr>
            <w:tr w14:paraId="41E1AE46">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74" w:hRule="atLeast"/>
                <w:jc w:val="center"/>
              </w:trPr>
              <w:tc>
                <w:tcPr>
                  <w:tcW w:w="1182" w:type="pct"/>
                  <w:tcBorders>
                    <w:tl2br w:val="nil"/>
                    <w:tr2bl w:val="nil"/>
                  </w:tcBorders>
                  <w:vAlign w:val="center"/>
                </w:tcPr>
                <w:p w14:paraId="0AD01CAA">
                  <w:pPr>
                    <w:widowControl/>
                    <w:jc w:val="center"/>
                    <w:rPr>
                      <w:color w:val="auto"/>
                      <w:kern w:val="0"/>
                      <w:szCs w:val="21"/>
                    </w:rPr>
                  </w:pPr>
                  <w:r>
                    <w:rPr>
                      <w:color w:val="auto"/>
                      <w:kern w:val="0"/>
                      <w:szCs w:val="21"/>
                    </w:rPr>
                    <w:t>水质标准</w:t>
                  </w:r>
                </w:p>
              </w:tc>
              <w:tc>
                <w:tcPr>
                  <w:tcW w:w="742" w:type="pct"/>
                  <w:tcBorders>
                    <w:tl2br w:val="nil"/>
                    <w:tr2bl w:val="nil"/>
                  </w:tcBorders>
                  <w:vAlign w:val="center"/>
                </w:tcPr>
                <w:p w14:paraId="2A531BFE">
                  <w:pPr>
                    <w:widowControl/>
                    <w:jc w:val="center"/>
                    <w:rPr>
                      <w:rFonts w:hint="default" w:eastAsia="宋体"/>
                      <w:color w:val="auto"/>
                      <w:kern w:val="0"/>
                      <w:szCs w:val="21"/>
                      <w:lang w:val="en-US" w:eastAsia="zh-CN"/>
                    </w:rPr>
                  </w:pPr>
                  <w:r>
                    <w:rPr>
                      <w:color w:val="auto"/>
                      <w:kern w:val="0"/>
                      <w:szCs w:val="21"/>
                    </w:rPr>
                    <w:t>≤</w:t>
                  </w:r>
                  <w:r>
                    <w:rPr>
                      <w:rFonts w:hint="eastAsia"/>
                      <w:color w:val="auto"/>
                      <w:kern w:val="0"/>
                      <w:szCs w:val="21"/>
                      <w:lang w:val="en-US" w:eastAsia="zh-CN"/>
                    </w:rPr>
                    <w:t>100</w:t>
                  </w:r>
                </w:p>
              </w:tc>
              <w:tc>
                <w:tcPr>
                  <w:tcW w:w="735" w:type="pct"/>
                  <w:tcBorders>
                    <w:tl2br w:val="nil"/>
                    <w:tr2bl w:val="nil"/>
                  </w:tcBorders>
                  <w:vAlign w:val="center"/>
                </w:tcPr>
                <w:p w14:paraId="0CF0A0F0">
                  <w:pPr>
                    <w:widowControl/>
                    <w:jc w:val="center"/>
                    <w:rPr>
                      <w:rFonts w:hint="default" w:eastAsia="宋体"/>
                      <w:color w:val="auto"/>
                      <w:kern w:val="0"/>
                      <w:szCs w:val="21"/>
                      <w:lang w:val="en-US" w:eastAsia="zh-CN"/>
                    </w:rPr>
                  </w:pPr>
                  <w:r>
                    <w:rPr>
                      <w:color w:val="auto"/>
                      <w:kern w:val="0"/>
                      <w:szCs w:val="21"/>
                    </w:rPr>
                    <w:t>≤</w:t>
                  </w:r>
                  <w:r>
                    <w:rPr>
                      <w:rFonts w:hint="eastAsia"/>
                      <w:color w:val="auto"/>
                      <w:kern w:val="0"/>
                      <w:szCs w:val="21"/>
                      <w:lang w:val="en-US" w:eastAsia="zh-CN"/>
                    </w:rPr>
                    <w:t>20</w:t>
                  </w:r>
                </w:p>
              </w:tc>
              <w:tc>
                <w:tcPr>
                  <w:tcW w:w="698" w:type="pct"/>
                  <w:tcBorders>
                    <w:tl2br w:val="nil"/>
                    <w:tr2bl w:val="nil"/>
                  </w:tcBorders>
                  <w:vAlign w:val="center"/>
                </w:tcPr>
                <w:p w14:paraId="6FF2321C">
                  <w:pPr>
                    <w:widowControl/>
                    <w:jc w:val="center"/>
                    <w:rPr>
                      <w:rFonts w:hint="default"/>
                      <w:color w:val="auto"/>
                      <w:kern w:val="0"/>
                      <w:szCs w:val="21"/>
                      <w:lang w:val="en-US"/>
                    </w:rPr>
                  </w:pPr>
                  <w:r>
                    <w:rPr>
                      <w:color w:val="auto"/>
                      <w:kern w:val="0"/>
                      <w:szCs w:val="21"/>
                    </w:rPr>
                    <w:t>≤</w:t>
                  </w:r>
                  <w:r>
                    <w:rPr>
                      <w:rFonts w:hint="eastAsia"/>
                      <w:color w:val="auto"/>
                      <w:kern w:val="0"/>
                      <w:szCs w:val="21"/>
                      <w:lang w:val="en-US" w:eastAsia="zh-CN"/>
                    </w:rPr>
                    <w:t>15</w:t>
                  </w:r>
                </w:p>
              </w:tc>
              <w:tc>
                <w:tcPr>
                  <w:tcW w:w="711" w:type="pct"/>
                  <w:tcBorders>
                    <w:tl2br w:val="nil"/>
                    <w:tr2bl w:val="nil"/>
                  </w:tcBorders>
                  <w:vAlign w:val="center"/>
                </w:tcPr>
                <w:p w14:paraId="74C03FEA">
                  <w:pPr>
                    <w:widowControl/>
                    <w:jc w:val="center"/>
                    <w:rPr>
                      <w:rFonts w:hint="default" w:eastAsia="宋体"/>
                      <w:color w:val="auto"/>
                      <w:kern w:val="0"/>
                      <w:szCs w:val="21"/>
                      <w:lang w:val="en-US" w:eastAsia="zh-CN"/>
                    </w:rPr>
                  </w:pPr>
                  <w:r>
                    <w:rPr>
                      <w:color w:val="auto"/>
                      <w:kern w:val="0"/>
                      <w:szCs w:val="21"/>
                    </w:rPr>
                    <w:t>≤</w:t>
                  </w:r>
                  <w:r>
                    <w:rPr>
                      <w:rFonts w:hint="eastAsia"/>
                      <w:color w:val="auto"/>
                      <w:kern w:val="0"/>
                      <w:szCs w:val="21"/>
                      <w:lang w:val="en-US" w:eastAsia="zh-CN"/>
                    </w:rPr>
                    <w:t>70</w:t>
                  </w:r>
                </w:p>
              </w:tc>
              <w:tc>
                <w:tcPr>
                  <w:tcW w:w="930" w:type="pct"/>
                  <w:tcBorders>
                    <w:tl2br w:val="nil"/>
                    <w:tr2bl w:val="nil"/>
                  </w:tcBorders>
                  <w:vAlign w:val="center"/>
                </w:tcPr>
                <w:p w14:paraId="7862664D">
                  <w:pPr>
                    <w:widowControl/>
                    <w:jc w:val="center"/>
                    <w:rPr>
                      <w:color w:val="auto"/>
                      <w:kern w:val="0"/>
                      <w:szCs w:val="21"/>
                    </w:rPr>
                  </w:pPr>
                  <w:r>
                    <w:rPr>
                      <w:color w:val="auto"/>
                      <w:kern w:val="0"/>
                      <w:szCs w:val="21"/>
                    </w:rPr>
                    <w:t>6-9</w:t>
                  </w:r>
                </w:p>
              </w:tc>
            </w:tr>
          </w:tbl>
          <w:p w14:paraId="384A2A49">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（3）噪声</w:t>
            </w:r>
          </w:p>
          <w:p w14:paraId="4BAAC570">
            <w:pPr>
              <w:spacing w:line="360" w:lineRule="auto"/>
              <w:ind w:firstLine="480"/>
              <w:rPr>
                <w:rFonts w:hint="eastAsia" w:eastAsia="Times New Roman"/>
                <w:color w:val="auto"/>
                <w:sz w:val="24"/>
              </w:rPr>
            </w:pPr>
            <w:r>
              <w:rPr>
                <w:rFonts w:hint="eastAsia" w:eastAsia="Times New Roman"/>
                <w:color w:val="auto"/>
                <w:sz w:val="24"/>
                <w:lang w:val="en-GB"/>
              </w:rPr>
              <w:t>施工噪声执行《建筑施工场界环境噪声排放标准》（GB12523-</w:t>
            </w:r>
            <w:r>
              <w:rPr>
                <w:rFonts w:hint="eastAsia" w:eastAsia="Times New Roman"/>
                <w:color w:val="auto"/>
                <w:sz w:val="24"/>
              </w:rPr>
              <w:t>2011</w:t>
            </w:r>
            <w:r>
              <w:rPr>
                <w:rFonts w:hint="eastAsia" w:eastAsia="Times New Roman"/>
                <w:color w:val="auto"/>
                <w:sz w:val="24"/>
                <w:lang w:val="en-GB"/>
              </w:rPr>
              <w:t>）中表</w:t>
            </w:r>
            <w:r>
              <w:rPr>
                <w:rFonts w:hint="eastAsia" w:eastAsia="Times New Roman"/>
                <w:color w:val="auto"/>
                <w:sz w:val="24"/>
              </w:rPr>
              <w:t>1</w:t>
            </w:r>
            <w:r>
              <w:rPr>
                <w:rFonts w:hint="eastAsia" w:eastAsia="Times New Roman"/>
                <w:color w:val="auto"/>
                <w:sz w:val="24"/>
                <w:lang w:val="en-GB"/>
              </w:rPr>
              <w:t>标准限值，具体限值见表</w:t>
            </w:r>
            <w:r>
              <w:rPr>
                <w:rFonts w:hint="eastAsia" w:eastAsia="Times New Roman"/>
                <w:color w:val="auto"/>
                <w:sz w:val="24"/>
                <w:lang w:val="en-US" w:eastAsia="zh-CN"/>
              </w:rPr>
              <w:t>3-17</w:t>
            </w:r>
            <w:r>
              <w:rPr>
                <w:rFonts w:hint="eastAsia" w:eastAsia="Times New Roman"/>
                <w:color w:val="auto"/>
                <w:sz w:val="24"/>
              </w:rPr>
              <w:t>。</w:t>
            </w:r>
          </w:p>
          <w:p w14:paraId="45ED47B8">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表3-</w:t>
            </w:r>
            <w:r>
              <w:rPr>
                <w:rFonts w:hint="eastAsia" w:cs="Times New Roman"/>
                <w:b/>
                <w:bCs/>
                <w:color w:val="auto"/>
                <w:szCs w:val="21"/>
                <w:lang w:val="en-US" w:eastAsia="zh-CN"/>
              </w:rPr>
              <w:t>17</w:t>
            </w:r>
            <w:r>
              <w:rPr>
                <w:rFonts w:hint="eastAsia" w:ascii="Times New Roman" w:hAnsi="Times New Roman" w:eastAsia="宋体" w:cs="Times New Roman"/>
                <w:b/>
                <w:bCs/>
                <w:color w:val="auto"/>
                <w:szCs w:val="21"/>
                <w:lang w:val="en-US" w:eastAsia="zh-CN"/>
              </w:rPr>
              <w:t xml:space="preserve">    建筑施工场界环境噪声排放标准      单位：dB(A)</w:t>
            </w:r>
          </w:p>
          <w:tbl>
            <w:tblPr>
              <w:tblStyle w:val="1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06"/>
              <w:gridCol w:w="1528"/>
              <w:gridCol w:w="5042"/>
            </w:tblGrid>
            <w:tr w14:paraId="3F8E4E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78" w:type="pct"/>
                  <w:noWrap w:val="0"/>
                  <w:vAlign w:val="center"/>
                </w:tcPr>
                <w:p w14:paraId="08B8E228">
                  <w:pPr>
                    <w:adjustRightInd w:val="0"/>
                    <w:snapToGrid w:val="0"/>
                    <w:ind w:firstLine="38"/>
                    <w:jc w:val="center"/>
                    <w:rPr>
                      <w:color w:val="auto"/>
                      <w:sz w:val="21"/>
                      <w:szCs w:val="21"/>
                    </w:rPr>
                  </w:pPr>
                  <w:r>
                    <w:rPr>
                      <w:color w:val="auto"/>
                      <w:sz w:val="21"/>
                      <w:szCs w:val="21"/>
                    </w:rPr>
                    <w:t>环境要素</w:t>
                  </w:r>
                </w:p>
              </w:tc>
              <w:tc>
                <w:tcPr>
                  <w:tcW w:w="912" w:type="pct"/>
                  <w:noWrap w:val="0"/>
                  <w:vAlign w:val="center"/>
                </w:tcPr>
                <w:p w14:paraId="790E9976">
                  <w:pPr>
                    <w:adjustRightInd w:val="0"/>
                    <w:snapToGrid w:val="0"/>
                    <w:ind w:firstLine="37" w:firstLineChars="18"/>
                    <w:jc w:val="center"/>
                    <w:rPr>
                      <w:color w:val="auto"/>
                      <w:sz w:val="21"/>
                      <w:szCs w:val="21"/>
                    </w:rPr>
                  </w:pPr>
                  <w:r>
                    <w:rPr>
                      <w:color w:val="auto"/>
                      <w:sz w:val="21"/>
                      <w:szCs w:val="21"/>
                    </w:rPr>
                    <w:t>时段</w:t>
                  </w:r>
                </w:p>
              </w:tc>
              <w:tc>
                <w:tcPr>
                  <w:tcW w:w="3009" w:type="pct"/>
                  <w:noWrap w:val="0"/>
                  <w:vAlign w:val="center"/>
                </w:tcPr>
                <w:p w14:paraId="60BD8698">
                  <w:pPr>
                    <w:adjustRightInd w:val="0"/>
                    <w:snapToGrid w:val="0"/>
                    <w:jc w:val="center"/>
                    <w:rPr>
                      <w:color w:val="auto"/>
                      <w:sz w:val="21"/>
                      <w:szCs w:val="21"/>
                    </w:rPr>
                  </w:pPr>
                  <w:r>
                    <w:rPr>
                      <w:color w:val="auto"/>
                      <w:sz w:val="21"/>
                      <w:szCs w:val="21"/>
                    </w:rPr>
                    <w:t>标  准</w:t>
                  </w:r>
                </w:p>
              </w:tc>
            </w:tr>
            <w:tr w14:paraId="490363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78" w:type="pct"/>
                  <w:vMerge w:val="restart"/>
                  <w:noWrap w:val="0"/>
                  <w:vAlign w:val="center"/>
                </w:tcPr>
                <w:p w14:paraId="5884E0AB">
                  <w:pPr>
                    <w:adjustRightInd w:val="0"/>
                    <w:snapToGrid w:val="0"/>
                    <w:jc w:val="center"/>
                    <w:rPr>
                      <w:color w:val="auto"/>
                      <w:sz w:val="21"/>
                      <w:szCs w:val="21"/>
                    </w:rPr>
                  </w:pPr>
                  <w:r>
                    <w:rPr>
                      <w:color w:val="auto"/>
                      <w:sz w:val="21"/>
                      <w:szCs w:val="21"/>
                    </w:rPr>
                    <w:t>声环境</w:t>
                  </w:r>
                </w:p>
              </w:tc>
              <w:tc>
                <w:tcPr>
                  <w:tcW w:w="912" w:type="pct"/>
                  <w:noWrap w:val="0"/>
                  <w:vAlign w:val="center"/>
                </w:tcPr>
                <w:p w14:paraId="704BEDD2">
                  <w:pPr>
                    <w:adjustRightInd w:val="0"/>
                    <w:snapToGrid w:val="0"/>
                    <w:jc w:val="center"/>
                    <w:rPr>
                      <w:color w:val="auto"/>
                      <w:sz w:val="21"/>
                      <w:szCs w:val="21"/>
                    </w:rPr>
                  </w:pPr>
                  <w:r>
                    <w:rPr>
                      <w:color w:val="auto"/>
                      <w:sz w:val="21"/>
                      <w:szCs w:val="21"/>
                    </w:rPr>
                    <w:t>昼间</w:t>
                  </w:r>
                </w:p>
              </w:tc>
              <w:tc>
                <w:tcPr>
                  <w:tcW w:w="3009" w:type="pct"/>
                  <w:noWrap w:val="0"/>
                  <w:vAlign w:val="center"/>
                </w:tcPr>
                <w:p w14:paraId="44A26314">
                  <w:pPr>
                    <w:adjustRightInd w:val="0"/>
                    <w:snapToGrid w:val="0"/>
                    <w:jc w:val="center"/>
                    <w:rPr>
                      <w:color w:val="auto"/>
                      <w:sz w:val="21"/>
                      <w:szCs w:val="21"/>
                    </w:rPr>
                  </w:pPr>
                  <w:r>
                    <w:rPr>
                      <w:color w:val="auto"/>
                      <w:sz w:val="21"/>
                      <w:szCs w:val="21"/>
                    </w:rPr>
                    <w:t>70</w:t>
                  </w:r>
                </w:p>
              </w:tc>
            </w:tr>
            <w:tr w14:paraId="51281C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78" w:type="pct"/>
                  <w:vMerge w:val="continue"/>
                  <w:noWrap w:val="0"/>
                  <w:vAlign w:val="center"/>
                </w:tcPr>
                <w:p w14:paraId="7718D69D">
                  <w:pPr>
                    <w:adjustRightInd w:val="0"/>
                    <w:snapToGrid w:val="0"/>
                    <w:jc w:val="center"/>
                    <w:rPr>
                      <w:color w:val="auto"/>
                      <w:sz w:val="21"/>
                      <w:szCs w:val="21"/>
                    </w:rPr>
                  </w:pPr>
                </w:p>
              </w:tc>
              <w:tc>
                <w:tcPr>
                  <w:tcW w:w="912" w:type="pct"/>
                  <w:noWrap w:val="0"/>
                  <w:vAlign w:val="center"/>
                </w:tcPr>
                <w:p w14:paraId="31C88017">
                  <w:pPr>
                    <w:adjustRightInd w:val="0"/>
                    <w:snapToGrid w:val="0"/>
                    <w:jc w:val="center"/>
                    <w:rPr>
                      <w:color w:val="auto"/>
                      <w:sz w:val="21"/>
                      <w:szCs w:val="21"/>
                    </w:rPr>
                  </w:pPr>
                  <w:r>
                    <w:rPr>
                      <w:color w:val="auto"/>
                      <w:sz w:val="21"/>
                      <w:szCs w:val="21"/>
                    </w:rPr>
                    <w:t>夜间</w:t>
                  </w:r>
                </w:p>
              </w:tc>
              <w:tc>
                <w:tcPr>
                  <w:tcW w:w="3009" w:type="pct"/>
                  <w:noWrap w:val="0"/>
                  <w:vAlign w:val="center"/>
                </w:tcPr>
                <w:p w14:paraId="7A90A4A4">
                  <w:pPr>
                    <w:adjustRightInd w:val="0"/>
                    <w:snapToGrid w:val="0"/>
                    <w:jc w:val="center"/>
                    <w:rPr>
                      <w:color w:val="auto"/>
                      <w:sz w:val="21"/>
                      <w:szCs w:val="21"/>
                    </w:rPr>
                  </w:pPr>
                  <w:r>
                    <w:rPr>
                      <w:color w:val="auto"/>
                      <w:sz w:val="21"/>
                      <w:szCs w:val="21"/>
                    </w:rPr>
                    <w:t>55</w:t>
                  </w:r>
                </w:p>
              </w:tc>
            </w:tr>
          </w:tbl>
          <w:p w14:paraId="7FEA62EC">
            <w:pPr>
              <w:spacing w:line="360" w:lineRule="auto"/>
              <w:ind w:firstLine="480" w:firstLineChars="200"/>
              <w:rPr>
                <w:color w:val="auto"/>
                <w:sz w:val="24"/>
              </w:rPr>
            </w:pPr>
            <w:r>
              <w:rPr>
                <w:rFonts w:hint="eastAsia"/>
                <w:color w:val="auto"/>
                <w:sz w:val="24"/>
              </w:rPr>
              <w:t>运营期厂界噪声执行</w:t>
            </w:r>
            <w:r>
              <w:rPr>
                <w:color w:val="auto"/>
                <w:sz w:val="24"/>
              </w:rPr>
              <w:t>《工业企业厂界环境噪声排放标准》（GB12348-2008）</w:t>
            </w:r>
            <w:r>
              <w:rPr>
                <w:rFonts w:hint="eastAsia"/>
                <w:color w:val="auto"/>
                <w:sz w:val="24"/>
              </w:rPr>
              <w:t>2</w:t>
            </w:r>
            <w:r>
              <w:rPr>
                <w:color w:val="auto"/>
                <w:sz w:val="24"/>
              </w:rPr>
              <w:t>类标准；</w:t>
            </w:r>
          </w:p>
          <w:p w14:paraId="7B04FF78">
            <w:pPr>
              <w:spacing w:line="360" w:lineRule="auto"/>
              <w:jc w:val="center"/>
              <w:rPr>
                <w:b/>
                <w:bCs/>
                <w:color w:val="auto"/>
                <w:szCs w:val="21"/>
              </w:rPr>
            </w:pPr>
            <w:r>
              <w:rPr>
                <w:rFonts w:hint="eastAsia"/>
                <w:b/>
                <w:bCs/>
                <w:color w:val="auto"/>
                <w:szCs w:val="21"/>
              </w:rPr>
              <w:t>表3-1</w:t>
            </w:r>
            <w:r>
              <w:rPr>
                <w:rFonts w:hint="eastAsia"/>
                <w:b/>
                <w:bCs/>
                <w:color w:val="auto"/>
                <w:szCs w:val="21"/>
                <w:lang w:val="en-US" w:eastAsia="zh-CN"/>
              </w:rPr>
              <w:t>8</w:t>
            </w:r>
            <w:r>
              <w:rPr>
                <w:rFonts w:hint="eastAsia"/>
                <w:b/>
                <w:bCs/>
                <w:color w:val="auto"/>
                <w:szCs w:val="21"/>
              </w:rPr>
              <w:t xml:space="preserve">    </w:t>
            </w:r>
            <w:r>
              <w:rPr>
                <w:b/>
                <w:bCs/>
                <w:color w:val="auto"/>
                <w:szCs w:val="21"/>
              </w:rPr>
              <w:t>工业企业厂界环境噪声排放标准</w:t>
            </w:r>
          </w:p>
          <w:tbl>
            <w:tblPr>
              <w:tblStyle w:val="19"/>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4325"/>
              <w:gridCol w:w="4054"/>
            </w:tblGrid>
            <w:tr w14:paraId="7DE7423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74" w:hRule="atLeast"/>
              </w:trPr>
              <w:tc>
                <w:tcPr>
                  <w:tcW w:w="2581" w:type="pct"/>
                  <w:vAlign w:val="center"/>
                </w:tcPr>
                <w:p w14:paraId="665C0F6E">
                  <w:pPr>
                    <w:adjustRightInd w:val="0"/>
                    <w:snapToGrid w:val="0"/>
                    <w:jc w:val="center"/>
                    <w:rPr>
                      <w:color w:val="auto"/>
                      <w:szCs w:val="21"/>
                    </w:rPr>
                  </w:pPr>
                  <w:r>
                    <w:rPr>
                      <w:color w:val="auto"/>
                      <w:szCs w:val="21"/>
                    </w:rPr>
                    <w:t>昼间</w:t>
                  </w:r>
                  <w:r>
                    <w:rPr>
                      <w:bCs/>
                      <w:color w:val="auto"/>
                      <w:szCs w:val="21"/>
                    </w:rPr>
                    <w:t>dB(A)</w:t>
                  </w:r>
                </w:p>
              </w:tc>
              <w:tc>
                <w:tcPr>
                  <w:tcW w:w="2419" w:type="pct"/>
                  <w:vAlign w:val="center"/>
                </w:tcPr>
                <w:p w14:paraId="5C3E7FBF">
                  <w:pPr>
                    <w:adjustRightInd w:val="0"/>
                    <w:snapToGrid w:val="0"/>
                    <w:jc w:val="center"/>
                    <w:rPr>
                      <w:color w:val="auto"/>
                      <w:szCs w:val="21"/>
                    </w:rPr>
                  </w:pPr>
                  <w:r>
                    <w:rPr>
                      <w:color w:val="auto"/>
                      <w:szCs w:val="21"/>
                    </w:rPr>
                    <w:t>夜间</w:t>
                  </w:r>
                  <w:r>
                    <w:rPr>
                      <w:bCs/>
                      <w:color w:val="auto"/>
                      <w:szCs w:val="21"/>
                    </w:rPr>
                    <w:t>dB(A)</w:t>
                  </w:r>
                </w:p>
              </w:tc>
            </w:tr>
            <w:tr w14:paraId="441D39C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74" w:hRule="atLeast"/>
              </w:trPr>
              <w:tc>
                <w:tcPr>
                  <w:tcW w:w="2581" w:type="pct"/>
                  <w:vAlign w:val="center"/>
                </w:tcPr>
                <w:p w14:paraId="372293EA">
                  <w:pPr>
                    <w:adjustRightInd w:val="0"/>
                    <w:snapToGrid w:val="0"/>
                    <w:jc w:val="center"/>
                    <w:rPr>
                      <w:color w:val="auto"/>
                      <w:szCs w:val="21"/>
                    </w:rPr>
                  </w:pPr>
                  <w:r>
                    <w:rPr>
                      <w:rFonts w:hint="eastAsia"/>
                      <w:color w:val="auto"/>
                      <w:szCs w:val="21"/>
                    </w:rPr>
                    <w:t>60</w:t>
                  </w:r>
                </w:p>
              </w:tc>
              <w:tc>
                <w:tcPr>
                  <w:tcW w:w="2419" w:type="pct"/>
                  <w:vAlign w:val="center"/>
                </w:tcPr>
                <w:p w14:paraId="49C6C14D">
                  <w:pPr>
                    <w:adjustRightInd w:val="0"/>
                    <w:snapToGrid w:val="0"/>
                    <w:jc w:val="center"/>
                    <w:rPr>
                      <w:color w:val="auto"/>
                      <w:szCs w:val="21"/>
                    </w:rPr>
                  </w:pPr>
                  <w:r>
                    <w:rPr>
                      <w:color w:val="auto"/>
                      <w:szCs w:val="21"/>
                    </w:rPr>
                    <w:t>5</w:t>
                  </w:r>
                  <w:r>
                    <w:rPr>
                      <w:rFonts w:hint="eastAsia"/>
                      <w:color w:val="auto"/>
                      <w:szCs w:val="21"/>
                    </w:rPr>
                    <w:t>0</w:t>
                  </w:r>
                </w:p>
              </w:tc>
            </w:tr>
          </w:tbl>
          <w:p w14:paraId="1489F8B8">
            <w:pPr>
              <w:spacing w:line="360" w:lineRule="auto"/>
              <w:ind w:firstLine="480"/>
              <w:rPr>
                <w:rFonts w:eastAsia="Times New Roman"/>
                <w:color w:val="auto"/>
                <w:sz w:val="24"/>
              </w:rPr>
            </w:pPr>
            <w:r>
              <w:rPr>
                <w:rFonts w:eastAsia="Times New Roman"/>
                <w:color w:val="auto"/>
                <w:sz w:val="24"/>
              </w:rPr>
              <w:t>（2）固体废物</w:t>
            </w:r>
          </w:p>
          <w:p w14:paraId="518EA5CD">
            <w:pPr>
              <w:spacing w:line="360" w:lineRule="auto"/>
              <w:ind w:firstLine="480"/>
              <w:rPr>
                <w:rFonts w:eastAsia="Times New Roman"/>
                <w:color w:val="auto"/>
                <w:szCs w:val="21"/>
              </w:rPr>
            </w:pPr>
            <w:r>
              <w:rPr>
                <w:rFonts w:eastAsiaTheme="minorEastAsia"/>
                <w:color w:val="auto"/>
                <w:sz w:val="24"/>
                <w:lang w:val="zh-CN"/>
              </w:rPr>
              <w:t>一般固体废弃物排放执行《一般工业固体废物贮存和填埋污染控制标准》(GB</w:t>
            </w:r>
            <w:r>
              <w:rPr>
                <w:rFonts w:eastAsiaTheme="minorEastAsia"/>
                <w:color w:val="auto"/>
                <w:sz w:val="24"/>
              </w:rPr>
              <w:t xml:space="preserve"> </w:t>
            </w:r>
            <w:r>
              <w:rPr>
                <w:rFonts w:eastAsiaTheme="minorEastAsia"/>
                <w:color w:val="auto"/>
                <w:sz w:val="24"/>
                <w:lang w:val="zh-CN"/>
              </w:rPr>
              <w:t>18599</w:t>
            </w:r>
            <w:r>
              <w:rPr>
                <w:rFonts w:eastAsiaTheme="minorEastAsia"/>
                <w:color w:val="auto"/>
                <w:sz w:val="24"/>
              </w:rPr>
              <w:t>-2020</w:t>
            </w:r>
            <w:r>
              <w:rPr>
                <w:rFonts w:eastAsiaTheme="minorEastAsia"/>
                <w:color w:val="auto"/>
                <w:sz w:val="24"/>
                <w:lang w:val="zh-CN"/>
              </w:rPr>
              <w:t>)要求</w:t>
            </w:r>
            <w:r>
              <w:rPr>
                <w:rFonts w:eastAsia="Times New Roman"/>
                <w:color w:val="auto"/>
                <w:sz w:val="24"/>
              </w:rPr>
              <w:t>。</w:t>
            </w:r>
          </w:p>
        </w:tc>
      </w:tr>
      <w:tr w14:paraId="7AF6900D">
        <w:tblPrEx>
          <w:tblBorders>
            <w:top w:val="single" w:color="000000" w:sz="8" w:space="0"/>
            <w:left w:val="single" w:color="000000" w:sz="8" w:space="0"/>
            <w:bottom w:val="single" w:color="000000" w:sz="4" w:space="0"/>
            <w:right w:val="single" w:color="000000" w:sz="8" w:space="0"/>
            <w:insideH w:val="single" w:color="000000" w:sz="8" w:space="0"/>
            <w:insideV w:val="single" w:color="000000" w:sz="4" w:space="0"/>
          </w:tblBorders>
          <w:tblCellMar>
            <w:top w:w="0" w:type="dxa"/>
            <w:left w:w="108" w:type="dxa"/>
            <w:bottom w:w="0" w:type="dxa"/>
            <w:right w:w="108" w:type="dxa"/>
          </w:tblCellMar>
        </w:tblPrEx>
        <w:trPr>
          <w:trHeight w:val="1216" w:hRule="atLeast"/>
          <w:jc w:val="center"/>
        </w:trPr>
        <w:tc>
          <w:tcPr>
            <w:tcW w:w="456" w:type="dxa"/>
            <w:tcBorders>
              <w:tl2br w:val="nil"/>
              <w:tr2bl w:val="nil"/>
            </w:tcBorders>
            <w:vAlign w:val="center"/>
          </w:tcPr>
          <w:p w14:paraId="536A79D0">
            <w:pPr>
              <w:spacing w:line="360" w:lineRule="auto"/>
              <w:jc w:val="center"/>
              <w:rPr>
                <w:rFonts w:eastAsia="Times New Roman"/>
                <w:color w:val="auto"/>
                <w:sz w:val="24"/>
              </w:rPr>
            </w:pPr>
            <w:r>
              <w:rPr>
                <w:rFonts w:eastAsia="Times New Roman"/>
                <w:color w:val="auto"/>
                <w:sz w:val="24"/>
              </w:rPr>
              <w:t>其他</w:t>
            </w:r>
          </w:p>
        </w:tc>
        <w:tc>
          <w:tcPr>
            <w:tcW w:w="8446" w:type="dxa"/>
            <w:tcBorders>
              <w:tl2br w:val="nil"/>
              <w:tr2bl w:val="nil"/>
            </w:tcBorders>
            <w:vAlign w:val="center"/>
          </w:tcPr>
          <w:p w14:paraId="64F334E3">
            <w:pPr>
              <w:spacing w:line="360" w:lineRule="auto"/>
              <w:jc w:val="center"/>
              <w:rPr>
                <w:rFonts w:hint="eastAsia"/>
                <w:color w:val="auto"/>
                <w:sz w:val="24"/>
                <w:lang w:eastAsia="zh-CN"/>
              </w:rPr>
            </w:pPr>
          </w:p>
          <w:p w14:paraId="6BF22557">
            <w:pPr>
              <w:spacing w:line="360" w:lineRule="auto"/>
              <w:jc w:val="center"/>
              <w:rPr>
                <w:rFonts w:hint="eastAsia"/>
                <w:color w:val="auto"/>
                <w:sz w:val="24"/>
                <w:lang w:eastAsia="zh-CN"/>
              </w:rPr>
            </w:pPr>
          </w:p>
          <w:p w14:paraId="6EF52DF2">
            <w:pPr>
              <w:spacing w:line="360" w:lineRule="auto"/>
              <w:jc w:val="center"/>
              <w:rPr>
                <w:rFonts w:hint="eastAsia" w:eastAsia="宋体"/>
                <w:color w:val="auto"/>
                <w:sz w:val="24"/>
              </w:rPr>
            </w:pPr>
            <w:r>
              <w:rPr>
                <w:rFonts w:hint="eastAsia"/>
                <w:color w:val="auto"/>
                <w:sz w:val="24"/>
                <w:lang w:eastAsia="zh-CN"/>
              </w:rPr>
              <w:t>无</w:t>
            </w:r>
          </w:p>
          <w:p w14:paraId="533C9924">
            <w:pPr>
              <w:spacing w:line="360" w:lineRule="auto"/>
              <w:jc w:val="center"/>
              <w:rPr>
                <w:rFonts w:hint="eastAsia"/>
                <w:color w:val="auto"/>
                <w:sz w:val="24"/>
                <w:lang w:eastAsia="zh-CN"/>
              </w:rPr>
            </w:pPr>
          </w:p>
          <w:p w14:paraId="571D1A55">
            <w:pPr>
              <w:pStyle w:val="5"/>
              <w:rPr>
                <w:rFonts w:hint="eastAsia"/>
                <w:color w:val="auto"/>
              </w:rPr>
            </w:pPr>
          </w:p>
        </w:tc>
      </w:tr>
    </w:tbl>
    <w:p w14:paraId="1ECA6894">
      <w:pPr>
        <w:pStyle w:val="10"/>
        <w:ind w:left="0" w:leftChars="0"/>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7D8FCDB">
      <w:pPr>
        <w:pStyle w:val="2"/>
        <w:spacing w:line="360" w:lineRule="auto"/>
        <w:jc w:val="center"/>
        <w:rPr>
          <w:rFonts w:eastAsia="Times New Roman"/>
          <w:color w:val="auto"/>
          <w:sz w:val="32"/>
          <w:szCs w:val="32"/>
        </w:rPr>
      </w:pPr>
      <w:r>
        <w:rPr>
          <w:rFonts w:eastAsia="Times New Roman"/>
          <w:color w:val="auto"/>
          <w:sz w:val="32"/>
          <w:szCs w:val="32"/>
        </w:rPr>
        <w:t>四、生态环境影响分析</w:t>
      </w:r>
    </w:p>
    <w:tbl>
      <w:tblPr>
        <w:tblStyle w:val="19"/>
        <w:tblW w:w="887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525"/>
        <w:gridCol w:w="8352"/>
      </w:tblGrid>
      <w:tr w14:paraId="339858B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525" w:type="dxa"/>
            <w:tcMar>
              <w:left w:w="28" w:type="dxa"/>
              <w:right w:w="28" w:type="dxa"/>
            </w:tcMar>
            <w:vAlign w:val="center"/>
          </w:tcPr>
          <w:p w14:paraId="1944111D">
            <w:pPr>
              <w:pStyle w:val="15"/>
              <w:snapToGrid w:val="0"/>
              <w:jc w:val="center"/>
              <w:rPr>
                <w:rFonts w:ascii="Times New Roman" w:hAnsi="Times New Roman" w:eastAsia="Times New Roman"/>
                <w:color w:val="auto"/>
                <w:spacing w:val="10"/>
              </w:rPr>
            </w:pPr>
            <w:bookmarkStart w:id="5" w:name="_Hlk49796138"/>
            <w:r>
              <w:rPr>
                <w:rFonts w:ascii="Times New Roman" w:hAnsi="Times New Roman" w:eastAsia="Times New Roman"/>
                <w:color w:val="auto"/>
                <w:spacing w:val="10"/>
              </w:rPr>
              <w:t>施工期生态环境影响分析</w:t>
            </w:r>
            <w:bookmarkEnd w:id="5"/>
          </w:p>
        </w:tc>
        <w:tc>
          <w:tcPr>
            <w:tcW w:w="8352" w:type="dxa"/>
          </w:tcPr>
          <w:p w14:paraId="2A93CC01">
            <w:pPr>
              <w:spacing w:line="360" w:lineRule="auto"/>
              <w:ind w:firstLine="480"/>
              <w:rPr>
                <w:rFonts w:ascii="Times New Roman" w:hAnsi="Times New Roman" w:eastAsia="Times New Roman" w:cs="Times New Roman"/>
                <w:color w:val="auto"/>
                <w:sz w:val="24"/>
              </w:rPr>
            </w:pPr>
            <w:r>
              <w:rPr>
                <w:rFonts w:hint="eastAsia" w:ascii="Times New Roman" w:hAnsi="Times New Roman" w:eastAsia="Times New Roman" w:cs="Times New Roman"/>
                <w:color w:val="auto"/>
                <w:sz w:val="24"/>
              </w:rPr>
              <w:t>本项目施工主要内容包括地面建筑物施工和地下井巷工程施工。</w:t>
            </w:r>
            <w:r>
              <w:rPr>
                <w:rFonts w:ascii="Times New Roman" w:hAnsi="Times New Roman" w:eastAsia="Times New Roman" w:cs="Times New Roman"/>
                <w:color w:val="auto"/>
                <w:sz w:val="24"/>
              </w:rPr>
              <w:t>施工期污染物主要是井下生产系统布置和地面工程施工过程中产生的施工废水、施工扬尘、施工噪声、固体废物等。</w:t>
            </w:r>
          </w:p>
          <w:p w14:paraId="549DC0FB">
            <w:pPr>
              <w:spacing w:line="360" w:lineRule="auto"/>
              <w:ind w:firstLine="480"/>
              <w:rPr>
                <w:rFonts w:ascii="Times New Roman" w:hAnsi="Times New Roman" w:eastAsia="Times New Roman" w:cs="Times New Roman"/>
                <w:color w:val="auto"/>
                <w:sz w:val="24"/>
              </w:rPr>
            </w:pPr>
            <w:r>
              <w:rPr>
                <w:rFonts w:ascii="Times New Roman" w:hAnsi="Times New Roman" w:eastAsia="Times New Roman" w:cs="Times New Roman"/>
                <w:color w:val="auto"/>
                <w:sz w:val="24"/>
              </w:rPr>
              <w:t>施工期主要污染因素分析</w:t>
            </w:r>
          </w:p>
          <w:p w14:paraId="2AA7BDE5">
            <w:pPr>
              <w:spacing w:line="360" w:lineRule="auto"/>
              <w:ind w:firstLine="480"/>
              <w:rPr>
                <w:rFonts w:ascii="Times New Roman" w:hAnsi="Times New Roman" w:eastAsia="Times New Roman" w:cs="Times New Roman"/>
                <w:color w:val="auto"/>
                <w:sz w:val="24"/>
              </w:rPr>
            </w:pPr>
            <w:r>
              <w:rPr>
                <w:rFonts w:ascii="Times New Roman" w:hAnsi="Times New Roman" w:eastAsia="Times New Roman" w:cs="Times New Roman"/>
                <w:color w:val="auto"/>
                <w:sz w:val="24"/>
              </w:rPr>
              <w:t>一、生态环境</w:t>
            </w:r>
          </w:p>
          <w:p w14:paraId="25E6DAB6">
            <w:pPr>
              <w:spacing w:line="360" w:lineRule="auto"/>
              <w:ind w:firstLine="480"/>
              <w:rPr>
                <w:rFonts w:hint="eastAsia" w:ascii="Times New Roman" w:hAnsi="Times New Roman" w:eastAsia="Times New Roman" w:cs="Times New Roman"/>
                <w:color w:val="auto"/>
                <w:sz w:val="24"/>
              </w:rPr>
            </w:pPr>
            <w:r>
              <w:rPr>
                <w:rFonts w:hint="eastAsia" w:ascii="Times New Roman" w:hAnsi="Times New Roman" w:eastAsia="Times New Roman" w:cs="Times New Roman"/>
                <w:color w:val="auto"/>
                <w:sz w:val="24"/>
              </w:rPr>
              <w:t>本工程施工主要包括新建</w:t>
            </w:r>
            <w:r>
              <w:rPr>
                <w:rFonts w:hint="eastAsia" w:eastAsia="Times New Roman" w:cs="Times New Roman"/>
                <w:color w:val="auto"/>
                <w:sz w:val="24"/>
                <w:lang w:val="en-US" w:eastAsia="zh-CN"/>
              </w:rPr>
              <w:t>缓坡斜井</w:t>
            </w:r>
            <w:r>
              <w:rPr>
                <w:rFonts w:hint="eastAsia" w:ascii="Times New Roman" w:hAnsi="Times New Roman" w:eastAsia="Times New Roman" w:cs="Times New Roman"/>
                <w:color w:val="auto"/>
                <w:sz w:val="24"/>
              </w:rPr>
              <w:t>等构筑物的建设及设备的安装和调试；地下井巷工程施工主要包括井筒施工、辅助运输系统无轨化改造施工等，地面施工量较小，施工对生态环境影响较小，主要表现在施工占地破坏现有植被，施工场地开挖及土石方堆积引起的水土流失，对区域生态环境的影响等。</w:t>
            </w:r>
          </w:p>
          <w:p w14:paraId="51778D81">
            <w:pPr>
              <w:spacing w:line="360" w:lineRule="auto"/>
              <w:ind w:firstLine="480"/>
              <w:rPr>
                <w:rFonts w:hint="eastAsia" w:ascii="Times New Roman" w:hAnsi="Times New Roman" w:eastAsia="Times New Roman" w:cs="Times New Roman"/>
                <w:color w:val="auto"/>
                <w:sz w:val="24"/>
              </w:rPr>
            </w:pPr>
            <w:r>
              <w:rPr>
                <w:rFonts w:hint="eastAsia" w:ascii="Times New Roman" w:hAnsi="Times New Roman" w:eastAsia="Times New Roman" w:cs="Times New Roman"/>
                <w:color w:val="auto"/>
                <w:sz w:val="24"/>
              </w:rPr>
              <w:t>（1）施工对水土流失的影响</w:t>
            </w:r>
          </w:p>
          <w:p w14:paraId="71ACAAA8">
            <w:pPr>
              <w:spacing w:line="360" w:lineRule="auto"/>
              <w:ind w:firstLine="480"/>
              <w:rPr>
                <w:rFonts w:hint="eastAsia" w:ascii="Times New Roman" w:hAnsi="Times New Roman" w:eastAsia="Times New Roman" w:cs="Times New Roman"/>
                <w:color w:val="auto"/>
                <w:sz w:val="24"/>
              </w:rPr>
            </w:pPr>
            <w:r>
              <w:rPr>
                <w:rFonts w:hint="eastAsia" w:ascii="Times New Roman" w:hAnsi="Times New Roman" w:eastAsia="Times New Roman" w:cs="Times New Roman"/>
                <w:color w:val="auto"/>
                <w:sz w:val="24"/>
              </w:rPr>
              <w:t>项目建设对植被的影响主要发生在井筒开挖建设工程，</w:t>
            </w:r>
            <w:r>
              <w:rPr>
                <w:rFonts w:hint="eastAsia" w:ascii="Times New Roman" w:hAnsi="Times New Roman" w:eastAsia="宋体" w:cs="Times New Roman"/>
                <w:color w:val="auto"/>
                <w:sz w:val="24"/>
                <w:lang w:eastAsia="zh-CN"/>
              </w:rPr>
              <w:t>此</w:t>
            </w:r>
            <w:r>
              <w:rPr>
                <w:rFonts w:hint="eastAsia" w:ascii="Times New Roman" w:hAnsi="Times New Roman" w:eastAsia="Times New Roman" w:cs="Times New Roman"/>
                <w:color w:val="auto"/>
                <w:sz w:val="24"/>
              </w:rPr>
              <w:t>施工活动要进行清除植被、地表开挖和平整，造成施工区域内地表植被的完全破坏，使地表裸露、表土疏松，在暴雨条件下极易产生水土流失；施工地面平整及井筒开挖过程中会产生一定量弃渣、弃土，弃土弃渣临时堆存会压占植被，其本身还会引发水土流失。项目施工期风井场地挖方用于平整</w:t>
            </w:r>
            <w:r>
              <w:rPr>
                <w:rFonts w:hint="eastAsia" w:ascii="Times New Roman" w:hAnsi="Times New Roman" w:eastAsia="宋体" w:cs="Times New Roman"/>
                <w:color w:val="auto"/>
                <w:sz w:val="24"/>
                <w:lang w:eastAsia="zh-CN"/>
              </w:rPr>
              <w:t>周围</w:t>
            </w:r>
            <w:r>
              <w:rPr>
                <w:rFonts w:hint="eastAsia" w:ascii="Times New Roman" w:hAnsi="Times New Roman" w:eastAsia="Times New Roman" w:cs="Times New Roman"/>
                <w:color w:val="auto"/>
                <w:sz w:val="24"/>
              </w:rPr>
              <w:t>场地。为了</w:t>
            </w:r>
            <w:r>
              <w:rPr>
                <w:rFonts w:hint="eastAsia" w:ascii="Times New Roman" w:hAnsi="Times New Roman" w:eastAsia="Times New Roman" w:cs="Times New Roman"/>
                <w:color w:val="auto"/>
                <w:sz w:val="24"/>
                <w:lang w:eastAsia="zh-CN"/>
              </w:rPr>
              <w:t>防止</w:t>
            </w:r>
            <w:r>
              <w:rPr>
                <w:rFonts w:hint="eastAsia" w:ascii="Times New Roman" w:hAnsi="Times New Roman" w:eastAsia="Times New Roman" w:cs="Times New Roman"/>
                <w:color w:val="auto"/>
                <w:sz w:val="24"/>
              </w:rPr>
              <w:t>水土流失发生，评价建议施工场地内禁止堆砌挖方，风井场地内挖方及时平整风井场地，平整风井场地避开下雨天气，需要临时堆放的土方进行土工布苫盖并设置拦挡措施，采取措施后，施工期水土流失可以得到有效控制。</w:t>
            </w:r>
          </w:p>
          <w:p w14:paraId="154835B3">
            <w:pPr>
              <w:spacing w:line="360" w:lineRule="auto"/>
              <w:ind w:firstLine="480"/>
              <w:rPr>
                <w:rFonts w:hint="eastAsia" w:ascii="Times New Roman" w:hAnsi="Times New Roman" w:eastAsia="Times New Roman" w:cs="Times New Roman"/>
                <w:color w:val="auto"/>
                <w:sz w:val="24"/>
              </w:rPr>
            </w:pPr>
            <w:r>
              <w:rPr>
                <w:rFonts w:hint="eastAsia" w:ascii="Times New Roman" w:hAnsi="Times New Roman" w:eastAsia="Times New Roman" w:cs="Times New Roman"/>
                <w:color w:val="auto"/>
                <w:sz w:val="24"/>
              </w:rPr>
              <w:t>（</w:t>
            </w:r>
            <w:r>
              <w:rPr>
                <w:rFonts w:hint="eastAsia" w:ascii="Times New Roman" w:hAnsi="Times New Roman" w:eastAsia="Times New Roman" w:cs="Times New Roman"/>
                <w:color w:val="auto"/>
                <w:sz w:val="24"/>
                <w:lang w:val="en-US" w:eastAsia="zh-CN"/>
              </w:rPr>
              <w:t>2</w:t>
            </w:r>
            <w:r>
              <w:rPr>
                <w:rFonts w:hint="eastAsia" w:ascii="Times New Roman" w:hAnsi="Times New Roman" w:eastAsia="Times New Roman" w:cs="Times New Roman"/>
                <w:color w:val="auto"/>
                <w:sz w:val="24"/>
              </w:rPr>
              <w:t>）对区域生态环境的影响</w:t>
            </w:r>
          </w:p>
          <w:p w14:paraId="04860394">
            <w:pPr>
              <w:spacing w:line="360" w:lineRule="auto"/>
              <w:ind w:firstLine="480"/>
              <w:rPr>
                <w:rFonts w:hint="eastAsia" w:ascii="Times New Roman" w:hAnsi="Times New Roman" w:eastAsia="Times New Roman" w:cs="Times New Roman"/>
                <w:color w:val="auto"/>
                <w:sz w:val="24"/>
              </w:rPr>
            </w:pPr>
            <w:r>
              <w:rPr>
                <w:rFonts w:hint="eastAsia" w:ascii="Times New Roman" w:hAnsi="Times New Roman" w:eastAsia="Times New Roman" w:cs="Times New Roman"/>
                <w:color w:val="auto"/>
                <w:sz w:val="24"/>
              </w:rPr>
              <w:t>施工过程对施工区植被造成破坏，由于该区天然植被覆盖层对抗拒自然侵蚀极为重要，对维持区域生态结构的稳定起主导作用，植被破坏后，生态系统稳定性将受到干扰，区域生态环境功能将有所下降。</w:t>
            </w:r>
          </w:p>
          <w:p w14:paraId="0669C387">
            <w:pPr>
              <w:spacing w:line="360" w:lineRule="auto"/>
              <w:ind w:firstLine="480"/>
              <w:rPr>
                <w:rFonts w:hint="eastAsia" w:ascii="Times New Roman" w:hAnsi="Times New Roman" w:eastAsia="Times New Roman" w:cs="Times New Roman"/>
                <w:color w:val="auto"/>
                <w:sz w:val="24"/>
              </w:rPr>
            </w:pPr>
            <w:r>
              <w:rPr>
                <w:rFonts w:hint="eastAsia" w:ascii="Times New Roman" w:hAnsi="Times New Roman" w:eastAsia="Times New Roman" w:cs="Times New Roman"/>
                <w:color w:val="auto"/>
                <w:sz w:val="24"/>
              </w:rPr>
              <w:t>该施工区域植被覆盖较少，原有表面土层受到破坏，土壤松动，项目地春、秋季风大且多，裸露的地面在大风的作用下极易产生扬尘，遇雨易造成水土流失，若遇暴雨，水流不畅时会在厂区内形成大面积的蓄水涝池，存在安全隐患，对周边生态环境易造成较大不利影响。</w:t>
            </w:r>
          </w:p>
          <w:p w14:paraId="21C60924">
            <w:pPr>
              <w:spacing w:line="360" w:lineRule="auto"/>
              <w:ind w:firstLine="480"/>
              <w:rPr>
                <w:rFonts w:hint="eastAsia"/>
                <w:color w:val="auto"/>
                <w:sz w:val="24"/>
              </w:rPr>
            </w:pPr>
            <w:r>
              <w:rPr>
                <w:rFonts w:hint="eastAsia"/>
                <w:color w:val="auto"/>
                <w:sz w:val="24"/>
              </w:rPr>
              <w:t>因此严格过程管理，制定可行的施工计划，根据季节特点合理安排生产，建设必要的排水设施，加快施工进度，可避免或</w:t>
            </w:r>
            <w:r>
              <w:rPr>
                <w:rFonts w:hint="eastAsia"/>
                <w:color w:val="auto"/>
                <w:sz w:val="24"/>
                <w:lang w:eastAsia="zh-CN"/>
              </w:rPr>
              <w:t>减少</w:t>
            </w:r>
            <w:r>
              <w:rPr>
                <w:rFonts w:hint="eastAsia"/>
                <w:color w:val="auto"/>
                <w:sz w:val="24"/>
              </w:rPr>
              <w:t>水土流失现象的</w:t>
            </w:r>
            <w:r>
              <w:rPr>
                <w:rFonts w:hint="eastAsia"/>
                <w:color w:val="auto"/>
                <w:sz w:val="24"/>
                <w:lang w:eastAsia="zh-CN"/>
              </w:rPr>
              <w:t>发生概率</w:t>
            </w:r>
            <w:r>
              <w:rPr>
                <w:rFonts w:hint="eastAsia"/>
                <w:color w:val="auto"/>
                <w:sz w:val="24"/>
              </w:rPr>
              <w:t>，有效改善项目地生态现状。</w:t>
            </w:r>
          </w:p>
          <w:p w14:paraId="4DD594EE">
            <w:pPr>
              <w:spacing w:line="360" w:lineRule="auto"/>
              <w:ind w:firstLine="480"/>
              <w:rPr>
                <w:rFonts w:hint="eastAsia"/>
                <w:color w:val="auto"/>
                <w:sz w:val="24"/>
              </w:rPr>
            </w:pPr>
            <w:r>
              <w:rPr>
                <w:rFonts w:hint="eastAsia"/>
                <w:color w:val="auto"/>
                <w:sz w:val="24"/>
              </w:rPr>
              <w:t>（</w:t>
            </w:r>
            <w:r>
              <w:rPr>
                <w:rFonts w:hint="eastAsia"/>
                <w:color w:val="auto"/>
                <w:sz w:val="24"/>
                <w:lang w:val="en-US" w:eastAsia="zh-CN"/>
              </w:rPr>
              <w:t>3</w:t>
            </w:r>
            <w:r>
              <w:rPr>
                <w:rFonts w:hint="eastAsia"/>
                <w:color w:val="auto"/>
                <w:sz w:val="24"/>
              </w:rPr>
              <w:t>）对植被的影响</w:t>
            </w:r>
          </w:p>
          <w:p w14:paraId="4EA1DC2F">
            <w:pPr>
              <w:spacing w:line="360" w:lineRule="auto"/>
              <w:ind w:firstLine="480"/>
              <w:rPr>
                <w:rFonts w:hint="eastAsia" w:ascii="Times New Roman" w:hAnsi="Times New Roman" w:eastAsia="宋体" w:cs="Times New Roman"/>
                <w:color w:val="auto"/>
                <w:sz w:val="24"/>
                <w:lang w:val="en-US" w:eastAsia="zh-CN"/>
              </w:rPr>
            </w:pPr>
            <w:r>
              <w:rPr>
                <w:rFonts w:hint="eastAsia"/>
                <w:color w:val="auto"/>
                <w:sz w:val="24"/>
              </w:rPr>
              <w:t>本次施工结束后，对</w:t>
            </w:r>
            <w:r>
              <w:rPr>
                <w:rFonts w:hint="eastAsia"/>
                <w:color w:val="auto"/>
                <w:sz w:val="24"/>
                <w:lang w:val="en-US" w:eastAsia="zh-CN"/>
              </w:rPr>
              <w:t>四周</w:t>
            </w:r>
            <w:r>
              <w:rPr>
                <w:rFonts w:hint="eastAsia"/>
                <w:color w:val="auto"/>
                <w:sz w:val="24"/>
              </w:rPr>
              <w:t>进行绿化。</w:t>
            </w:r>
            <w:r>
              <w:rPr>
                <w:rFonts w:hint="eastAsia"/>
                <w:color w:val="auto"/>
                <w:sz w:val="24"/>
                <w:lang w:eastAsia="zh-CN"/>
              </w:rPr>
              <w:t>施工</w:t>
            </w:r>
            <w:r>
              <w:rPr>
                <w:rFonts w:hint="eastAsia"/>
                <w:color w:val="auto"/>
                <w:sz w:val="24"/>
              </w:rPr>
              <w:t>场地建筑物周围、场区空地</w:t>
            </w:r>
            <w:r>
              <w:rPr>
                <w:rFonts w:hint="eastAsia"/>
                <w:color w:val="auto"/>
                <w:sz w:val="24"/>
                <w:lang w:eastAsia="zh-CN"/>
              </w:rPr>
              <w:t>，以及</w:t>
            </w:r>
            <w:r>
              <w:rPr>
                <w:rFonts w:hint="eastAsia"/>
                <w:color w:val="auto"/>
                <w:sz w:val="24"/>
              </w:rPr>
              <w:t>道路两侧的绿化以美化环境、降尘为主，并兼顾降噪功能，</w:t>
            </w:r>
            <w:r>
              <w:rPr>
                <w:rFonts w:hint="eastAsia"/>
                <w:color w:val="auto"/>
                <w:sz w:val="24"/>
                <w:lang w:eastAsia="zh-CN"/>
              </w:rPr>
              <w:t>施工</w:t>
            </w:r>
            <w:r>
              <w:rPr>
                <w:rFonts w:hint="eastAsia"/>
                <w:color w:val="auto"/>
                <w:sz w:val="24"/>
              </w:rPr>
              <w:t>场地可绿化区域全部进行绿化。加强绿化，可有效改善煤矿工业场地生态现状。项目破坏植</w:t>
            </w:r>
            <w:r>
              <w:rPr>
                <w:rFonts w:hint="eastAsia" w:ascii="Times New Roman" w:hAnsi="Times New Roman" w:eastAsia="宋体" w:cs="Times New Roman"/>
                <w:color w:val="auto"/>
                <w:sz w:val="24"/>
                <w:lang w:val="en-US" w:eastAsia="zh-CN"/>
              </w:rPr>
              <w:t>被面积有限且没有受保护植物，项目施工不会造成某种植物种类在评价区灭绝，施工对区域植被影响较小。</w:t>
            </w:r>
          </w:p>
          <w:p w14:paraId="02F01692">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（4）对动物的影响</w:t>
            </w:r>
          </w:p>
          <w:p w14:paraId="135486D8">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评价区无特殊保护的野生动物，常见动物为区域内广泛分布的种类，如野兔、田鼠、蛇等。项目施工期对动物的影响，主要是运输、施工噪声和人为活动，迫使动物离开风井场地和风景道路沿线区域。因此，在施工过程中应加强对施工人员活动的控制，减少对野生动物的干扰；合理安排施工时间，在动物活动频繁季节停止施工。在此基础上，项目建设对野生动物的影响小。</w:t>
            </w:r>
          </w:p>
          <w:p w14:paraId="1FD6EF37">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二、废气</w:t>
            </w:r>
          </w:p>
          <w:p w14:paraId="3D334029">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施工过程中废气主要来源于推土机、挖掘机、装载机、汽车等各类施工机械作业时排放的废气，主要成分有CO</w:t>
            </w:r>
            <w:r>
              <w:rPr>
                <w:rFonts w:hint="eastAsia" w:ascii="Times New Roman" w:hAnsi="Times New Roman" w:eastAsia="宋体" w:cs="Times New Roman"/>
                <w:color w:val="auto"/>
                <w:sz w:val="24"/>
                <w:vertAlign w:val="subscript"/>
                <w:lang w:val="en-US" w:eastAsia="zh-CN"/>
              </w:rPr>
              <w:t>2</w:t>
            </w:r>
            <w:r>
              <w:rPr>
                <w:rFonts w:hint="eastAsia" w:ascii="Times New Roman" w:hAnsi="Times New Roman" w:eastAsia="宋体" w:cs="Times New Roman"/>
                <w:color w:val="auto"/>
                <w:sz w:val="24"/>
                <w:lang w:val="en-US" w:eastAsia="zh-CN"/>
              </w:rPr>
              <w:t>、NOx、碳氢化合物等，呈无组织排放。由于一般均要求燃油机械的尾气达标排放，因此正常情况下废气可达标，对大气环境造成不利影响较小。</w:t>
            </w:r>
          </w:p>
          <w:p w14:paraId="5813D845">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1、施工扬尘</w:t>
            </w:r>
          </w:p>
          <w:p w14:paraId="7876CE53">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工程施工期扬尘主要为地面土方施工、建构筑物施工、建筑垃圾清运等过程中产生的扬尘；建筑材料如水泥、砂子等在其装卸、运输、堆放过程中，因风力作用将产生扬尘污染；土方的挖掘、堆放、清运、土方回填和场地平整等过程产生的粉尘；运输车辆进出工地，将造成地面扬尘。</w:t>
            </w:r>
          </w:p>
          <w:p w14:paraId="7586BC19">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为有效控制施工期间空气环境的影响，按照目前矿区现状，本评价对施工期提出以下要求：</w:t>
            </w:r>
          </w:p>
          <w:p w14:paraId="1F60779C">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①合理布局施工现场，建筑材料存放在库房内或者加盖篷布严密遮盖；</w:t>
            </w:r>
          </w:p>
          <w:p w14:paraId="7E4CE278">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②建筑材料在运输时应用苫布覆盖，避免沿途遗洒；</w:t>
            </w:r>
          </w:p>
          <w:p w14:paraId="2CA42236">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③施工场地四周设置围挡设施；</w:t>
            </w:r>
          </w:p>
          <w:p w14:paraId="37BD02FE">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④对施工场地及运输道路定期洒水抑尘；</w:t>
            </w:r>
          </w:p>
          <w:p w14:paraId="00FFA68D">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⑤加强环境管理，合理安排施工时间，避免在不利气象条件下进行土方施工及运输作业。</w:t>
            </w:r>
          </w:p>
          <w:p w14:paraId="1F639564">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fldChar w:fldCharType="begin"/>
            </w:r>
            <w:r>
              <w:rPr>
                <w:rFonts w:hint="eastAsia" w:ascii="Times New Roman" w:hAnsi="Times New Roman" w:eastAsia="宋体" w:cs="Times New Roman"/>
                <w:color w:val="auto"/>
                <w:sz w:val="24"/>
                <w:lang w:val="en-US" w:eastAsia="zh-CN"/>
              </w:rPr>
              <w:instrText xml:space="preserve"> = 6 \* GB3 \* MERGEFORMAT </w:instrText>
            </w:r>
            <w:r>
              <w:rPr>
                <w:rFonts w:hint="eastAsia" w:ascii="Times New Roman" w:hAnsi="Times New Roman" w:eastAsia="宋体" w:cs="Times New Roman"/>
                <w:color w:val="auto"/>
                <w:sz w:val="24"/>
                <w:lang w:val="en-US" w:eastAsia="zh-CN"/>
              </w:rPr>
              <w:fldChar w:fldCharType="separate"/>
            </w:r>
            <w:r>
              <w:rPr>
                <w:rFonts w:hint="eastAsia" w:ascii="Times New Roman" w:hAnsi="Times New Roman" w:eastAsia="宋体" w:cs="Times New Roman"/>
                <w:color w:val="auto"/>
                <w:sz w:val="24"/>
                <w:lang w:val="en-US" w:eastAsia="zh-CN"/>
              </w:rPr>
              <w:t>⑥</w:t>
            </w:r>
            <w:r>
              <w:rPr>
                <w:rFonts w:hint="eastAsia" w:ascii="Times New Roman" w:hAnsi="Times New Roman" w:eastAsia="宋体" w:cs="Times New Roman"/>
                <w:color w:val="auto"/>
                <w:sz w:val="24"/>
                <w:lang w:val="en-US" w:eastAsia="zh-CN"/>
              </w:rPr>
              <w:fldChar w:fldCharType="end"/>
            </w:r>
            <w:r>
              <w:rPr>
                <w:rFonts w:hint="eastAsia" w:ascii="Times New Roman" w:hAnsi="Times New Roman" w:eastAsia="宋体" w:cs="Times New Roman"/>
                <w:color w:val="auto"/>
                <w:sz w:val="24"/>
                <w:lang w:val="en-US" w:eastAsia="zh-CN"/>
              </w:rPr>
              <w:t>井下掘进施工过程，应使用低毒、低挥发性钻井液添加剂，减少挥发性和有毒性废气的产生及排放。且施工过程应尽量使用电驱动的设备，以此替代柴油机械设备，减少废气的产生及排放。</w:t>
            </w:r>
          </w:p>
          <w:p w14:paraId="67371647">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由于本项目建设周期短，牵涉的范围也较小，且当地的大气扩散条件较好。矿区周边无居民区，通过采取以上抑尘措施后，可最大限度地降低施工扬尘对周围环境的影响。</w:t>
            </w:r>
          </w:p>
          <w:p w14:paraId="18773865">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2、施工机械和车辆尾气</w:t>
            </w:r>
          </w:p>
          <w:p w14:paraId="693137D1">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工程施工过程采用机械作业，施工机械主要有推土机、挖掘机、装载机及运输车辆等，它们排放的污染物主要有一氧化碳、氮氧化物、总烃等，其排放量不大，影响范围有限，故不定量分析。</w:t>
            </w:r>
          </w:p>
          <w:p w14:paraId="34765118">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三、废水</w:t>
            </w:r>
          </w:p>
          <w:p w14:paraId="761D4043">
            <w:pPr>
              <w:spacing w:line="360" w:lineRule="auto"/>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本项目施工废水主要包括矿井涌水、生产废水、生活污水。</w:t>
            </w:r>
          </w:p>
          <w:p w14:paraId="2D34C376">
            <w:pPr>
              <w:spacing w:line="360" w:lineRule="auto"/>
              <w:ind w:firstLine="480"/>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施工单位在现场布置3个沉淀池，单个沉淀池容积为5m×5m×1.5m。施工期间，矿井涌水和生产废水产生量约为60m</w:t>
            </w:r>
            <w:r>
              <w:rPr>
                <w:rFonts w:hint="eastAsia" w:cs="Times New Roman"/>
                <w:color w:val="auto"/>
                <w:sz w:val="24"/>
                <w:szCs w:val="24"/>
                <w:vertAlign w:val="superscript"/>
                <w:lang w:val="en-US" w:eastAsia="zh-CN"/>
              </w:rPr>
              <w:t>3</w:t>
            </w:r>
            <w:r>
              <w:rPr>
                <w:rFonts w:hint="eastAsia" w:cs="Times New Roman"/>
                <w:color w:val="auto"/>
                <w:sz w:val="24"/>
                <w:szCs w:val="24"/>
                <w:lang w:val="en-US" w:eastAsia="zh-CN"/>
              </w:rPr>
              <w:t>/d，矿井涌水及生产废水排至三级沉淀池进行沉淀处理，处理后的废水依托矿区现有矿井涌水处理装置进行处置，处理达到《地表水环境质量标准》（GB3838-2002）</w:t>
            </w:r>
            <w:r>
              <w:rPr>
                <w:rFonts w:hint="eastAsia" w:cs="Times New Roman"/>
                <w:color w:val="auto"/>
                <w:sz w:val="24"/>
                <w:szCs w:val="24"/>
                <w:lang w:val="en-US" w:eastAsia="zh-CN"/>
              </w:rPr>
              <w:fldChar w:fldCharType="begin"/>
            </w:r>
            <w:r>
              <w:rPr>
                <w:rFonts w:hint="eastAsia" w:cs="Times New Roman"/>
                <w:color w:val="auto"/>
                <w:sz w:val="24"/>
                <w:szCs w:val="24"/>
                <w:lang w:val="en-US" w:eastAsia="zh-CN"/>
              </w:rPr>
              <w:instrText xml:space="preserve"> = 3 \* ROMAN \* MERGEFORMAT </w:instrText>
            </w:r>
            <w:r>
              <w:rPr>
                <w:rFonts w:hint="eastAsia" w:cs="Times New Roman"/>
                <w:color w:val="auto"/>
                <w:sz w:val="24"/>
                <w:szCs w:val="24"/>
                <w:lang w:val="en-US" w:eastAsia="zh-CN"/>
              </w:rPr>
              <w:fldChar w:fldCharType="separate"/>
            </w:r>
            <w:r>
              <w:rPr>
                <w:color w:val="auto"/>
                <w:sz w:val="24"/>
                <w:szCs w:val="24"/>
              </w:rPr>
              <w:t>III</w:t>
            </w:r>
            <w:r>
              <w:rPr>
                <w:rFonts w:hint="eastAsia" w:cs="Times New Roman"/>
                <w:color w:val="auto"/>
                <w:sz w:val="24"/>
                <w:szCs w:val="24"/>
                <w:lang w:val="en-US" w:eastAsia="zh-CN"/>
              </w:rPr>
              <w:fldChar w:fldCharType="end"/>
            </w:r>
            <w:r>
              <w:rPr>
                <w:rFonts w:hint="eastAsia" w:cs="Times New Roman"/>
                <w:color w:val="auto"/>
                <w:sz w:val="24"/>
                <w:szCs w:val="24"/>
                <w:lang w:val="en-US" w:eastAsia="zh-CN"/>
              </w:rPr>
              <w:t>类标准后，部分回用于鄂温克电厂用水，部分外排至伊敏河。</w:t>
            </w:r>
          </w:p>
          <w:p w14:paraId="0C211CC1">
            <w:pPr>
              <w:spacing w:line="360" w:lineRule="auto"/>
              <w:ind w:firstLine="480"/>
              <w:rPr>
                <w:rFonts w:hint="default" w:ascii="Times New Roman" w:hAnsi="Times New Roman"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矿区现有</w:t>
            </w:r>
            <w:r>
              <w:rPr>
                <w:rFonts w:hint="eastAsia" w:cs="Times New Roman"/>
                <w:color w:val="auto"/>
                <w:sz w:val="24"/>
                <w:szCs w:val="24"/>
                <w:lang w:val="en-US" w:eastAsia="zh-CN"/>
              </w:rPr>
              <w:t>矿井涌水</w:t>
            </w:r>
            <w:r>
              <w:rPr>
                <w:rFonts w:hint="eastAsia" w:eastAsia="Times New Roman" w:cs="Times New Roman"/>
                <w:b w:val="0"/>
                <w:bCs w:val="0"/>
                <w:color w:val="auto"/>
                <w:sz w:val="24"/>
                <w:szCs w:val="24"/>
                <w:lang w:val="en-US" w:eastAsia="zh-CN"/>
              </w:rPr>
              <w:t>处理装置处理工艺为混凝沉淀+过滤消毒工艺，废水处理后可满足</w:t>
            </w:r>
            <w:r>
              <w:rPr>
                <w:rFonts w:hint="eastAsia" w:cs="Times New Roman"/>
                <w:color w:val="auto"/>
                <w:sz w:val="24"/>
                <w:szCs w:val="24"/>
                <w:lang w:val="en-US" w:eastAsia="zh-CN"/>
              </w:rPr>
              <w:t>《地表水环境质量标准》（GB3838-2002）</w:t>
            </w:r>
            <w:r>
              <w:rPr>
                <w:rFonts w:hint="eastAsia" w:cs="Times New Roman"/>
                <w:color w:val="auto"/>
                <w:sz w:val="24"/>
                <w:szCs w:val="24"/>
                <w:lang w:val="en-US" w:eastAsia="zh-CN"/>
              </w:rPr>
              <w:fldChar w:fldCharType="begin"/>
            </w:r>
            <w:r>
              <w:rPr>
                <w:rFonts w:hint="eastAsia" w:cs="Times New Roman"/>
                <w:color w:val="auto"/>
                <w:sz w:val="24"/>
                <w:szCs w:val="24"/>
                <w:lang w:val="en-US" w:eastAsia="zh-CN"/>
              </w:rPr>
              <w:instrText xml:space="preserve"> = 3 \* ROMAN \* MERGEFORMAT </w:instrText>
            </w:r>
            <w:r>
              <w:rPr>
                <w:rFonts w:hint="eastAsia" w:cs="Times New Roman"/>
                <w:color w:val="auto"/>
                <w:sz w:val="24"/>
                <w:szCs w:val="24"/>
                <w:lang w:val="en-US" w:eastAsia="zh-CN"/>
              </w:rPr>
              <w:fldChar w:fldCharType="separate"/>
            </w:r>
            <w:r>
              <w:rPr>
                <w:color w:val="auto"/>
                <w:sz w:val="24"/>
                <w:szCs w:val="24"/>
              </w:rPr>
              <w:t>III</w:t>
            </w:r>
            <w:r>
              <w:rPr>
                <w:rFonts w:hint="eastAsia" w:cs="Times New Roman"/>
                <w:color w:val="auto"/>
                <w:sz w:val="24"/>
                <w:szCs w:val="24"/>
                <w:lang w:val="en-US" w:eastAsia="zh-CN"/>
              </w:rPr>
              <w:fldChar w:fldCharType="end"/>
            </w:r>
            <w:r>
              <w:rPr>
                <w:rFonts w:hint="eastAsia" w:cs="Times New Roman"/>
                <w:color w:val="auto"/>
                <w:sz w:val="24"/>
                <w:szCs w:val="24"/>
                <w:lang w:val="en-US" w:eastAsia="zh-CN"/>
              </w:rPr>
              <w:t>类标准，可排至伊敏河。该处置措施已于2019年4月27日通过竣工环境保护验收，因此本次产生的矿井涌水依托矿区现有矿井涌水处理装置进行处置可行，验收意见见附件4。</w:t>
            </w:r>
          </w:p>
          <w:p w14:paraId="4EA40523">
            <w:pPr>
              <w:spacing w:line="360" w:lineRule="auto"/>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Times New Roman" w:cs="Times New Roman"/>
                <w:b w:val="0"/>
                <w:bCs w:val="0"/>
                <w:color w:val="auto"/>
                <w:sz w:val="24"/>
                <w:szCs w:val="24"/>
                <w:lang w:val="en-US" w:eastAsia="zh-CN"/>
              </w:rPr>
              <w:t>生活</w:t>
            </w:r>
            <w:r>
              <w:rPr>
                <w:rFonts w:hint="eastAsia" w:eastAsia="Times New Roman" w:cs="Times New Roman"/>
                <w:b w:val="0"/>
                <w:bCs w:val="0"/>
                <w:color w:val="auto"/>
                <w:sz w:val="24"/>
                <w:szCs w:val="24"/>
                <w:lang w:val="en-US" w:eastAsia="zh-CN"/>
              </w:rPr>
              <w:t>污水依托现有一体化处理设备进行二级处理，</w:t>
            </w:r>
            <w:r>
              <w:rPr>
                <w:rFonts w:hint="eastAsia" w:cs="Times New Roman"/>
                <w:color w:val="auto"/>
                <w:sz w:val="24"/>
                <w:szCs w:val="24"/>
                <w:lang w:val="en-US" w:eastAsia="zh-CN"/>
              </w:rPr>
              <w:t>回用于鄂温克电厂用水</w:t>
            </w:r>
            <w:r>
              <w:rPr>
                <w:rFonts w:hint="eastAsia" w:ascii="Times New Roman" w:hAnsi="Times New Roman" w:eastAsia="宋体" w:cs="Times New Roman"/>
                <w:color w:val="auto"/>
                <w:sz w:val="24"/>
                <w:szCs w:val="24"/>
                <w:lang w:val="en-US" w:eastAsia="zh-CN"/>
              </w:rPr>
              <w:t>。</w:t>
            </w:r>
          </w:p>
          <w:p w14:paraId="3D31AE3A">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四、固体废物</w:t>
            </w:r>
          </w:p>
          <w:p w14:paraId="3636CBD5">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施工期间固体废物主要来自井下施工及地面施工。</w:t>
            </w:r>
          </w:p>
          <w:p w14:paraId="36EF723C">
            <w:pPr>
              <w:spacing w:line="360" w:lineRule="auto"/>
              <w:ind w:firstLine="480"/>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井下施工如巷道掘进产生的固体废物主要为废土石、岩屑及泥浆；</w:t>
            </w:r>
            <w:r>
              <w:rPr>
                <w:rFonts w:hint="eastAsia" w:cs="Times New Roman"/>
                <w:color w:val="auto"/>
                <w:sz w:val="24"/>
                <w:lang w:val="en-US" w:eastAsia="zh-CN"/>
              </w:rPr>
              <w:t>泥浆通过污泥脱泥机压滤后，泥饼委托伊敏盛达实业有限责任公司处置，废水排至临时沉淀池处置。废土石及岩屑委托伊敏盛达实业有限责任公司处置。</w:t>
            </w:r>
            <w:r>
              <w:rPr>
                <w:rFonts w:hint="eastAsia" w:ascii="Times New Roman" w:hAnsi="Times New Roman" w:eastAsia="宋体" w:cs="Times New Roman"/>
                <w:color w:val="auto"/>
                <w:sz w:val="24"/>
                <w:lang w:val="en-US" w:eastAsia="zh-CN"/>
              </w:rPr>
              <w:t>废土石、岩屑及</w:t>
            </w:r>
            <w:r>
              <w:rPr>
                <w:rFonts w:hint="eastAsia" w:cs="Times New Roman"/>
                <w:color w:val="auto"/>
                <w:sz w:val="24"/>
                <w:lang w:val="en-US" w:eastAsia="zh-CN"/>
              </w:rPr>
              <w:t>泥饼产生量为57965m</w:t>
            </w:r>
            <w:r>
              <w:rPr>
                <w:rFonts w:hint="eastAsia" w:cs="Times New Roman"/>
                <w:color w:val="auto"/>
                <w:sz w:val="24"/>
                <w:vertAlign w:val="superscript"/>
                <w:lang w:val="en-US" w:eastAsia="zh-CN"/>
              </w:rPr>
              <w:t>3</w:t>
            </w:r>
            <w:r>
              <w:rPr>
                <w:rFonts w:hint="eastAsia" w:cs="Times New Roman"/>
                <w:color w:val="auto"/>
                <w:sz w:val="24"/>
                <w:lang w:val="en-US" w:eastAsia="zh-CN"/>
              </w:rPr>
              <w:t>。</w:t>
            </w:r>
          </w:p>
          <w:p w14:paraId="23D51D72">
            <w:pPr>
              <w:spacing w:line="360" w:lineRule="auto"/>
              <w:ind w:firstLine="480"/>
              <w:rPr>
                <w:rFonts w:hint="eastAsia" w:ascii="Times New Roman" w:hAnsi="Times New Roman" w:eastAsia="宋体" w:cs="Times New Roman"/>
                <w:color w:val="auto"/>
                <w:sz w:val="24"/>
                <w:lang w:val="en-US" w:eastAsia="zh-CN"/>
              </w:rPr>
            </w:pPr>
            <w:r>
              <w:rPr>
                <w:rFonts w:hint="eastAsia" w:cs="Times New Roman"/>
                <w:color w:val="auto"/>
                <w:sz w:val="24"/>
                <w:lang w:val="en-US" w:eastAsia="zh-CN"/>
              </w:rPr>
              <w:t>井上施工</w:t>
            </w:r>
            <w:r>
              <w:rPr>
                <w:rFonts w:hint="eastAsia" w:ascii="Times New Roman" w:hAnsi="Times New Roman" w:eastAsia="宋体" w:cs="Times New Roman"/>
                <w:color w:val="auto"/>
                <w:sz w:val="24"/>
                <w:lang w:val="en-US" w:eastAsia="zh-CN"/>
              </w:rPr>
              <w:t>场地施工人员为</w:t>
            </w:r>
            <w:r>
              <w:rPr>
                <w:rFonts w:hint="eastAsia" w:cs="Times New Roman"/>
                <w:color w:val="auto"/>
                <w:sz w:val="24"/>
                <w:lang w:val="en-US" w:eastAsia="zh-CN"/>
              </w:rPr>
              <w:t>110</w:t>
            </w:r>
            <w:r>
              <w:rPr>
                <w:rFonts w:hint="eastAsia" w:ascii="Times New Roman" w:hAnsi="Times New Roman" w:eastAsia="宋体" w:cs="Times New Roman"/>
                <w:color w:val="auto"/>
                <w:sz w:val="24"/>
                <w:lang w:val="en-US" w:eastAsia="zh-CN"/>
              </w:rPr>
              <w:t>人，生活垃圾产生量按照0.5kg/人/d计算，则生活垃圾产生量为</w:t>
            </w:r>
            <w:r>
              <w:rPr>
                <w:rFonts w:hint="eastAsia" w:cs="Times New Roman"/>
                <w:color w:val="auto"/>
                <w:sz w:val="24"/>
                <w:lang w:val="en-US" w:eastAsia="zh-CN"/>
              </w:rPr>
              <w:t>26.4</w:t>
            </w:r>
            <w:r>
              <w:rPr>
                <w:rFonts w:hint="eastAsia" w:ascii="Times New Roman" w:hAnsi="Times New Roman" w:eastAsia="宋体" w:cs="Times New Roman"/>
                <w:color w:val="auto"/>
                <w:sz w:val="24"/>
                <w:lang w:val="en-US" w:eastAsia="zh-CN"/>
              </w:rPr>
              <w:t>t。生活垃圾集中收集，</w:t>
            </w:r>
            <w:r>
              <w:rPr>
                <w:rFonts w:hint="eastAsia" w:cs="Times New Roman"/>
                <w:color w:val="auto"/>
                <w:sz w:val="24"/>
                <w:lang w:val="en-US" w:eastAsia="zh-CN"/>
              </w:rPr>
              <w:t>委托呼伦贝尔市石全经贸有限公司处置</w:t>
            </w:r>
            <w:r>
              <w:rPr>
                <w:rFonts w:hint="eastAsia" w:ascii="Times New Roman" w:hAnsi="Times New Roman" w:eastAsia="宋体" w:cs="Times New Roman"/>
                <w:color w:val="auto"/>
                <w:sz w:val="24"/>
                <w:lang w:val="en-US" w:eastAsia="zh-CN"/>
              </w:rPr>
              <w:t>。</w:t>
            </w:r>
          </w:p>
          <w:p w14:paraId="396BAB8C">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表4-</w:t>
            </w:r>
            <w:r>
              <w:rPr>
                <w:rFonts w:hint="eastAsia" w:cs="Times New Roman"/>
                <w:b/>
                <w:bCs/>
                <w:color w:val="auto"/>
                <w:szCs w:val="21"/>
                <w:lang w:val="en-US" w:eastAsia="zh-CN"/>
              </w:rPr>
              <w:t>1</w:t>
            </w:r>
            <w:r>
              <w:rPr>
                <w:rFonts w:hint="eastAsia" w:ascii="Times New Roman" w:hAnsi="Times New Roman" w:eastAsia="宋体" w:cs="Times New Roman"/>
                <w:b/>
                <w:bCs/>
                <w:color w:val="auto"/>
                <w:szCs w:val="21"/>
                <w:lang w:val="en-US" w:eastAsia="zh-CN"/>
              </w:rPr>
              <w:t xml:space="preserve">    固体废物产生量一览表</w:t>
            </w:r>
          </w:p>
          <w:tbl>
            <w:tblPr>
              <w:tblStyle w:val="1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8"/>
              <w:gridCol w:w="648"/>
              <w:gridCol w:w="648"/>
              <w:gridCol w:w="648"/>
              <w:gridCol w:w="648"/>
              <w:gridCol w:w="648"/>
              <w:gridCol w:w="648"/>
              <w:gridCol w:w="648"/>
              <w:gridCol w:w="648"/>
              <w:gridCol w:w="648"/>
              <w:gridCol w:w="650"/>
              <w:gridCol w:w="1003"/>
            </w:tblGrid>
            <w:tr w14:paraId="2FE2DF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48" w:type="dxa"/>
                  <w:tcBorders>
                    <w:tl2br w:val="nil"/>
                    <w:tr2bl w:val="nil"/>
                  </w:tcBorders>
                  <w:noWrap w:val="0"/>
                  <w:vAlign w:val="center"/>
                </w:tcPr>
                <w:p w14:paraId="685B2DEB">
                  <w:pPr>
                    <w:adjustRightInd w:val="0"/>
                    <w:snapToGrid w:val="0"/>
                    <w:jc w:val="center"/>
                    <w:rPr>
                      <w:bCs/>
                      <w:color w:val="auto"/>
                      <w:spacing w:val="-10"/>
                      <w:sz w:val="21"/>
                      <w:szCs w:val="21"/>
                    </w:rPr>
                  </w:pPr>
                  <w:r>
                    <w:rPr>
                      <w:bCs/>
                      <w:color w:val="auto"/>
                      <w:spacing w:val="-10"/>
                      <w:sz w:val="21"/>
                      <w:szCs w:val="21"/>
                    </w:rPr>
                    <w:t>序号</w:t>
                  </w:r>
                </w:p>
              </w:tc>
              <w:tc>
                <w:tcPr>
                  <w:tcW w:w="648" w:type="dxa"/>
                  <w:tcBorders>
                    <w:tl2br w:val="nil"/>
                    <w:tr2bl w:val="nil"/>
                  </w:tcBorders>
                  <w:noWrap w:val="0"/>
                  <w:vAlign w:val="center"/>
                </w:tcPr>
                <w:p w14:paraId="0DEA2A35">
                  <w:pPr>
                    <w:adjustRightInd w:val="0"/>
                    <w:snapToGrid w:val="0"/>
                    <w:jc w:val="center"/>
                    <w:rPr>
                      <w:bCs/>
                      <w:color w:val="auto"/>
                      <w:spacing w:val="-10"/>
                      <w:sz w:val="21"/>
                      <w:szCs w:val="21"/>
                    </w:rPr>
                  </w:pPr>
                  <w:r>
                    <w:rPr>
                      <w:bCs/>
                      <w:color w:val="auto"/>
                      <w:spacing w:val="-10"/>
                      <w:sz w:val="21"/>
                      <w:szCs w:val="21"/>
                    </w:rPr>
                    <w:t>产生环节</w:t>
                  </w:r>
                </w:p>
              </w:tc>
              <w:tc>
                <w:tcPr>
                  <w:tcW w:w="648" w:type="dxa"/>
                  <w:tcBorders>
                    <w:tl2br w:val="nil"/>
                    <w:tr2bl w:val="nil"/>
                  </w:tcBorders>
                  <w:noWrap w:val="0"/>
                  <w:vAlign w:val="center"/>
                </w:tcPr>
                <w:p w14:paraId="202C6F0C">
                  <w:pPr>
                    <w:adjustRightInd w:val="0"/>
                    <w:snapToGrid w:val="0"/>
                    <w:jc w:val="center"/>
                    <w:rPr>
                      <w:bCs/>
                      <w:color w:val="auto"/>
                      <w:spacing w:val="-10"/>
                      <w:sz w:val="21"/>
                      <w:szCs w:val="21"/>
                    </w:rPr>
                  </w:pPr>
                  <w:r>
                    <w:rPr>
                      <w:bCs/>
                      <w:color w:val="auto"/>
                      <w:spacing w:val="-10"/>
                      <w:sz w:val="21"/>
                      <w:szCs w:val="21"/>
                    </w:rPr>
                    <w:t>固废名称</w:t>
                  </w:r>
                </w:p>
              </w:tc>
              <w:tc>
                <w:tcPr>
                  <w:tcW w:w="648" w:type="dxa"/>
                  <w:tcBorders>
                    <w:tl2br w:val="nil"/>
                    <w:tr2bl w:val="nil"/>
                  </w:tcBorders>
                  <w:noWrap w:val="0"/>
                  <w:vAlign w:val="center"/>
                </w:tcPr>
                <w:p w14:paraId="5262B222">
                  <w:pPr>
                    <w:adjustRightInd w:val="0"/>
                    <w:snapToGrid w:val="0"/>
                    <w:jc w:val="center"/>
                    <w:rPr>
                      <w:bCs/>
                      <w:color w:val="auto"/>
                      <w:spacing w:val="-10"/>
                      <w:sz w:val="21"/>
                      <w:szCs w:val="21"/>
                    </w:rPr>
                  </w:pPr>
                  <w:r>
                    <w:rPr>
                      <w:bCs/>
                      <w:color w:val="auto"/>
                      <w:spacing w:val="-10"/>
                      <w:sz w:val="21"/>
                      <w:szCs w:val="21"/>
                    </w:rPr>
                    <w:t>固废</w:t>
                  </w:r>
                </w:p>
                <w:p w14:paraId="2FCA8892">
                  <w:pPr>
                    <w:adjustRightInd w:val="0"/>
                    <w:snapToGrid w:val="0"/>
                    <w:jc w:val="center"/>
                    <w:rPr>
                      <w:bCs/>
                      <w:color w:val="auto"/>
                      <w:spacing w:val="-10"/>
                      <w:sz w:val="21"/>
                      <w:szCs w:val="21"/>
                    </w:rPr>
                  </w:pPr>
                  <w:r>
                    <w:rPr>
                      <w:bCs/>
                      <w:color w:val="auto"/>
                      <w:spacing w:val="-10"/>
                      <w:sz w:val="21"/>
                      <w:szCs w:val="21"/>
                    </w:rPr>
                    <w:t>属性</w:t>
                  </w:r>
                </w:p>
              </w:tc>
              <w:tc>
                <w:tcPr>
                  <w:tcW w:w="648" w:type="dxa"/>
                  <w:tcBorders>
                    <w:tl2br w:val="nil"/>
                    <w:tr2bl w:val="nil"/>
                  </w:tcBorders>
                  <w:noWrap w:val="0"/>
                  <w:vAlign w:val="center"/>
                </w:tcPr>
                <w:p w14:paraId="3AEDC0E3">
                  <w:pPr>
                    <w:adjustRightInd w:val="0"/>
                    <w:snapToGrid w:val="0"/>
                    <w:jc w:val="center"/>
                    <w:rPr>
                      <w:bCs/>
                      <w:color w:val="auto"/>
                      <w:spacing w:val="-10"/>
                      <w:sz w:val="21"/>
                      <w:szCs w:val="21"/>
                    </w:rPr>
                  </w:pPr>
                  <w:r>
                    <w:rPr>
                      <w:bCs/>
                      <w:color w:val="auto"/>
                      <w:spacing w:val="-10"/>
                      <w:sz w:val="21"/>
                      <w:szCs w:val="21"/>
                    </w:rPr>
                    <w:t>主要有毒有害物质名称</w:t>
                  </w:r>
                </w:p>
              </w:tc>
              <w:tc>
                <w:tcPr>
                  <w:tcW w:w="648" w:type="dxa"/>
                  <w:tcBorders>
                    <w:tl2br w:val="nil"/>
                    <w:tr2bl w:val="nil"/>
                  </w:tcBorders>
                  <w:noWrap w:val="0"/>
                  <w:vAlign w:val="center"/>
                </w:tcPr>
                <w:p w14:paraId="46C75DDC">
                  <w:pPr>
                    <w:adjustRightInd w:val="0"/>
                    <w:snapToGrid w:val="0"/>
                    <w:jc w:val="center"/>
                    <w:rPr>
                      <w:bCs/>
                      <w:color w:val="auto"/>
                      <w:spacing w:val="-10"/>
                      <w:sz w:val="21"/>
                      <w:szCs w:val="21"/>
                    </w:rPr>
                  </w:pPr>
                  <w:r>
                    <w:rPr>
                      <w:bCs/>
                      <w:color w:val="auto"/>
                      <w:spacing w:val="-10"/>
                      <w:sz w:val="21"/>
                      <w:szCs w:val="21"/>
                    </w:rPr>
                    <w:t>物理性状</w:t>
                  </w:r>
                </w:p>
              </w:tc>
              <w:tc>
                <w:tcPr>
                  <w:tcW w:w="648" w:type="dxa"/>
                  <w:tcBorders>
                    <w:tl2br w:val="nil"/>
                    <w:tr2bl w:val="nil"/>
                  </w:tcBorders>
                  <w:noWrap w:val="0"/>
                  <w:vAlign w:val="center"/>
                </w:tcPr>
                <w:p w14:paraId="1D96B62D">
                  <w:pPr>
                    <w:adjustRightInd w:val="0"/>
                    <w:snapToGrid w:val="0"/>
                    <w:jc w:val="center"/>
                    <w:rPr>
                      <w:bCs/>
                      <w:color w:val="auto"/>
                      <w:spacing w:val="-10"/>
                      <w:sz w:val="21"/>
                      <w:szCs w:val="21"/>
                    </w:rPr>
                  </w:pPr>
                  <w:r>
                    <w:rPr>
                      <w:bCs/>
                      <w:color w:val="auto"/>
                      <w:spacing w:val="-10"/>
                      <w:sz w:val="21"/>
                      <w:szCs w:val="21"/>
                    </w:rPr>
                    <w:t>环境危险特性</w:t>
                  </w:r>
                </w:p>
              </w:tc>
              <w:tc>
                <w:tcPr>
                  <w:tcW w:w="648" w:type="dxa"/>
                  <w:tcBorders>
                    <w:tl2br w:val="nil"/>
                    <w:tr2bl w:val="nil"/>
                  </w:tcBorders>
                  <w:noWrap w:val="0"/>
                  <w:vAlign w:val="center"/>
                </w:tcPr>
                <w:p w14:paraId="115C1BA9">
                  <w:pPr>
                    <w:adjustRightInd w:val="0"/>
                    <w:snapToGrid w:val="0"/>
                    <w:jc w:val="center"/>
                    <w:rPr>
                      <w:bCs/>
                      <w:color w:val="auto"/>
                      <w:spacing w:val="-10"/>
                      <w:sz w:val="21"/>
                      <w:szCs w:val="21"/>
                    </w:rPr>
                  </w:pPr>
                  <w:r>
                    <w:rPr>
                      <w:bCs/>
                      <w:color w:val="auto"/>
                      <w:spacing w:val="-10"/>
                      <w:sz w:val="21"/>
                      <w:szCs w:val="21"/>
                    </w:rPr>
                    <w:t>年度产生量</w:t>
                  </w:r>
                </w:p>
              </w:tc>
              <w:tc>
                <w:tcPr>
                  <w:tcW w:w="648" w:type="dxa"/>
                  <w:tcBorders>
                    <w:tl2br w:val="nil"/>
                    <w:tr2bl w:val="nil"/>
                  </w:tcBorders>
                  <w:noWrap w:val="0"/>
                  <w:vAlign w:val="center"/>
                </w:tcPr>
                <w:p w14:paraId="7F547071">
                  <w:pPr>
                    <w:adjustRightInd w:val="0"/>
                    <w:snapToGrid w:val="0"/>
                    <w:jc w:val="center"/>
                    <w:rPr>
                      <w:bCs/>
                      <w:color w:val="auto"/>
                      <w:spacing w:val="-10"/>
                      <w:sz w:val="21"/>
                      <w:szCs w:val="21"/>
                    </w:rPr>
                  </w:pPr>
                  <w:r>
                    <w:rPr>
                      <w:bCs/>
                      <w:color w:val="auto"/>
                      <w:spacing w:val="-10"/>
                      <w:sz w:val="21"/>
                      <w:szCs w:val="21"/>
                    </w:rPr>
                    <w:t>贮存方式</w:t>
                  </w:r>
                </w:p>
              </w:tc>
              <w:tc>
                <w:tcPr>
                  <w:tcW w:w="648" w:type="dxa"/>
                  <w:tcBorders>
                    <w:tl2br w:val="nil"/>
                    <w:tr2bl w:val="nil"/>
                  </w:tcBorders>
                  <w:noWrap w:val="0"/>
                  <w:vAlign w:val="center"/>
                </w:tcPr>
                <w:p w14:paraId="0068C6C2">
                  <w:pPr>
                    <w:adjustRightInd w:val="0"/>
                    <w:snapToGrid w:val="0"/>
                    <w:jc w:val="center"/>
                    <w:rPr>
                      <w:bCs/>
                      <w:color w:val="auto"/>
                      <w:spacing w:val="-10"/>
                      <w:sz w:val="21"/>
                      <w:szCs w:val="21"/>
                    </w:rPr>
                  </w:pPr>
                  <w:r>
                    <w:rPr>
                      <w:bCs/>
                      <w:color w:val="auto"/>
                      <w:spacing w:val="-10"/>
                      <w:sz w:val="21"/>
                      <w:szCs w:val="21"/>
                    </w:rPr>
                    <w:t>处置方式和去向</w:t>
                  </w:r>
                </w:p>
              </w:tc>
              <w:tc>
                <w:tcPr>
                  <w:tcW w:w="650" w:type="dxa"/>
                  <w:tcBorders>
                    <w:tl2br w:val="nil"/>
                    <w:tr2bl w:val="nil"/>
                  </w:tcBorders>
                  <w:noWrap w:val="0"/>
                  <w:vAlign w:val="center"/>
                </w:tcPr>
                <w:p w14:paraId="16A9DA34">
                  <w:pPr>
                    <w:adjustRightInd w:val="0"/>
                    <w:snapToGrid w:val="0"/>
                    <w:jc w:val="center"/>
                    <w:rPr>
                      <w:bCs/>
                      <w:color w:val="auto"/>
                      <w:spacing w:val="-10"/>
                      <w:sz w:val="21"/>
                      <w:szCs w:val="21"/>
                    </w:rPr>
                  </w:pPr>
                  <w:r>
                    <w:rPr>
                      <w:bCs/>
                      <w:color w:val="auto"/>
                      <w:spacing w:val="-10"/>
                      <w:sz w:val="21"/>
                      <w:szCs w:val="21"/>
                    </w:rPr>
                    <w:t>利用或处置量</w:t>
                  </w:r>
                </w:p>
              </w:tc>
              <w:tc>
                <w:tcPr>
                  <w:tcW w:w="1003" w:type="dxa"/>
                  <w:tcBorders>
                    <w:tl2br w:val="nil"/>
                    <w:tr2bl w:val="nil"/>
                  </w:tcBorders>
                  <w:noWrap w:val="0"/>
                  <w:vAlign w:val="center"/>
                </w:tcPr>
                <w:p w14:paraId="06A4DB52">
                  <w:pPr>
                    <w:adjustRightInd w:val="0"/>
                    <w:snapToGrid w:val="0"/>
                    <w:jc w:val="center"/>
                    <w:rPr>
                      <w:bCs/>
                      <w:color w:val="auto"/>
                      <w:spacing w:val="-10"/>
                      <w:sz w:val="21"/>
                      <w:szCs w:val="21"/>
                    </w:rPr>
                  </w:pPr>
                  <w:r>
                    <w:rPr>
                      <w:rFonts w:hint="eastAsia"/>
                      <w:bCs/>
                      <w:color w:val="auto"/>
                      <w:spacing w:val="-10"/>
                      <w:sz w:val="21"/>
                      <w:szCs w:val="21"/>
                    </w:rPr>
                    <w:t>环境</w:t>
                  </w:r>
                  <w:r>
                    <w:rPr>
                      <w:bCs/>
                      <w:color w:val="auto"/>
                      <w:spacing w:val="-10"/>
                      <w:sz w:val="21"/>
                      <w:szCs w:val="21"/>
                    </w:rPr>
                    <w:t>管理要求</w:t>
                  </w:r>
                </w:p>
              </w:tc>
            </w:tr>
            <w:tr w14:paraId="642981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48" w:type="dxa"/>
                  <w:tcBorders>
                    <w:tl2br w:val="nil"/>
                    <w:tr2bl w:val="nil"/>
                  </w:tcBorders>
                  <w:noWrap w:val="0"/>
                  <w:vAlign w:val="center"/>
                </w:tcPr>
                <w:p w14:paraId="41F0D3CB">
                  <w:pPr>
                    <w:adjustRightInd w:val="0"/>
                    <w:snapToGrid w:val="0"/>
                    <w:jc w:val="center"/>
                    <w:rPr>
                      <w:rFonts w:hint="eastAsia" w:eastAsia="宋体"/>
                      <w:bCs/>
                      <w:color w:val="auto"/>
                      <w:spacing w:val="-10"/>
                      <w:sz w:val="21"/>
                      <w:szCs w:val="21"/>
                      <w:lang w:eastAsia="zh-CN"/>
                    </w:rPr>
                  </w:pPr>
                  <w:r>
                    <w:rPr>
                      <w:rFonts w:hint="eastAsia"/>
                      <w:bCs/>
                      <w:color w:val="auto"/>
                      <w:spacing w:val="-10"/>
                      <w:sz w:val="21"/>
                      <w:szCs w:val="21"/>
                      <w:lang w:val="en-US" w:eastAsia="zh-CN"/>
                    </w:rPr>
                    <w:t>1</w:t>
                  </w:r>
                </w:p>
              </w:tc>
              <w:tc>
                <w:tcPr>
                  <w:tcW w:w="648" w:type="dxa"/>
                  <w:tcBorders>
                    <w:tl2br w:val="nil"/>
                    <w:tr2bl w:val="nil"/>
                  </w:tcBorders>
                  <w:noWrap w:val="0"/>
                  <w:vAlign w:val="center"/>
                </w:tcPr>
                <w:p w14:paraId="7AA25BDE">
                  <w:pPr>
                    <w:adjustRightInd w:val="0"/>
                    <w:snapToGrid w:val="0"/>
                    <w:jc w:val="center"/>
                    <w:rPr>
                      <w:rFonts w:hint="eastAsia" w:eastAsia="宋体"/>
                      <w:bCs/>
                      <w:color w:val="auto"/>
                      <w:spacing w:val="-10"/>
                      <w:sz w:val="21"/>
                      <w:szCs w:val="21"/>
                      <w:lang w:eastAsia="zh-CN"/>
                    </w:rPr>
                  </w:pPr>
                  <w:r>
                    <w:rPr>
                      <w:rFonts w:hint="eastAsia"/>
                      <w:bCs/>
                      <w:color w:val="auto"/>
                      <w:spacing w:val="-10"/>
                      <w:sz w:val="21"/>
                      <w:szCs w:val="21"/>
                      <w:lang w:eastAsia="zh-CN"/>
                    </w:rPr>
                    <w:t>井下施工</w:t>
                  </w:r>
                </w:p>
              </w:tc>
              <w:tc>
                <w:tcPr>
                  <w:tcW w:w="648" w:type="dxa"/>
                  <w:tcBorders>
                    <w:tl2br w:val="nil"/>
                    <w:tr2bl w:val="nil"/>
                  </w:tcBorders>
                  <w:noWrap w:val="0"/>
                  <w:vAlign w:val="center"/>
                </w:tcPr>
                <w:p w14:paraId="0C2EE8C8">
                  <w:pPr>
                    <w:adjustRightInd w:val="0"/>
                    <w:snapToGrid w:val="0"/>
                    <w:jc w:val="center"/>
                    <w:rPr>
                      <w:rFonts w:hint="eastAsia"/>
                      <w:bCs/>
                      <w:color w:val="auto"/>
                      <w:spacing w:val="-10"/>
                      <w:sz w:val="21"/>
                      <w:szCs w:val="21"/>
                    </w:rPr>
                  </w:pPr>
                  <w:r>
                    <w:rPr>
                      <w:rFonts w:hint="eastAsia" w:ascii="Times New Roman" w:hAnsi="Times New Roman" w:eastAsia="宋体" w:cs="Times New Roman"/>
                      <w:color w:val="auto"/>
                      <w:sz w:val="21"/>
                      <w:szCs w:val="21"/>
                      <w:lang w:val="en-US" w:eastAsia="zh-CN"/>
                    </w:rPr>
                    <w:t>废土石、岩屑及泥浆</w:t>
                  </w:r>
                </w:p>
              </w:tc>
              <w:tc>
                <w:tcPr>
                  <w:tcW w:w="648" w:type="dxa"/>
                  <w:tcBorders>
                    <w:tl2br w:val="nil"/>
                    <w:tr2bl w:val="nil"/>
                  </w:tcBorders>
                  <w:noWrap w:val="0"/>
                  <w:vAlign w:val="center"/>
                </w:tcPr>
                <w:p w14:paraId="203EF8CD">
                  <w:pPr>
                    <w:adjustRightInd w:val="0"/>
                    <w:snapToGrid w:val="0"/>
                    <w:jc w:val="center"/>
                    <w:rPr>
                      <w:bCs/>
                      <w:color w:val="auto"/>
                      <w:spacing w:val="-10"/>
                      <w:sz w:val="21"/>
                      <w:szCs w:val="21"/>
                    </w:rPr>
                  </w:pPr>
                  <w:r>
                    <w:rPr>
                      <w:rFonts w:hint="eastAsia"/>
                      <w:bCs/>
                      <w:color w:val="auto"/>
                      <w:spacing w:val="-10"/>
                      <w:sz w:val="21"/>
                      <w:szCs w:val="21"/>
                    </w:rPr>
                    <w:t>一般工业固体废物</w:t>
                  </w:r>
                </w:p>
              </w:tc>
              <w:tc>
                <w:tcPr>
                  <w:tcW w:w="648" w:type="dxa"/>
                  <w:tcBorders>
                    <w:tl2br w:val="nil"/>
                    <w:tr2bl w:val="nil"/>
                  </w:tcBorders>
                  <w:noWrap w:val="0"/>
                  <w:vAlign w:val="center"/>
                </w:tcPr>
                <w:p w14:paraId="48DFB221">
                  <w:pPr>
                    <w:adjustRightInd w:val="0"/>
                    <w:snapToGrid w:val="0"/>
                    <w:jc w:val="center"/>
                    <w:rPr>
                      <w:rFonts w:hint="eastAsia"/>
                      <w:bCs/>
                      <w:color w:val="auto"/>
                      <w:spacing w:val="-10"/>
                      <w:sz w:val="21"/>
                      <w:szCs w:val="21"/>
                    </w:rPr>
                  </w:pPr>
                  <w:r>
                    <w:rPr>
                      <w:rFonts w:hint="eastAsia"/>
                      <w:bCs/>
                      <w:color w:val="auto"/>
                      <w:spacing w:val="-10"/>
                      <w:sz w:val="21"/>
                      <w:szCs w:val="21"/>
                    </w:rPr>
                    <w:t>无</w:t>
                  </w:r>
                </w:p>
              </w:tc>
              <w:tc>
                <w:tcPr>
                  <w:tcW w:w="648" w:type="dxa"/>
                  <w:tcBorders>
                    <w:tl2br w:val="nil"/>
                    <w:tr2bl w:val="nil"/>
                  </w:tcBorders>
                  <w:noWrap w:val="0"/>
                  <w:vAlign w:val="center"/>
                </w:tcPr>
                <w:p w14:paraId="4698A4F3">
                  <w:pPr>
                    <w:adjustRightInd w:val="0"/>
                    <w:snapToGrid w:val="0"/>
                    <w:jc w:val="center"/>
                    <w:rPr>
                      <w:rFonts w:hint="default" w:eastAsia="宋体"/>
                      <w:bCs/>
                      <w:color w:val="auto"/>
                      <w:spacing w:val="-10"/>
                      <w:sz w:val="21"/>
                      <w:szCs w:val="21"/>
                      <w:lang w:val="en-US" w:eastAsia="zh-CN"/>
                    </w:rPr>
                  </w:pPr>
                  <w:r>
                    <w:rPr>
                      <w:rFonts w:hint="eastAsia"/>
                      <w:bCs/>
                      <w:color w:val="auto"/>
                      <w:spacing w:val="-10"/>
                      <w:sz w:val="21"/>
                      <w:szCs w:val="21"/>
                    </w:rPr>
                    <w:t>液</w:t>
                  </w:r>
                  <w:r>
                    <w:rPr>
                      <w:bCs/>
                      <w:color w:val="auto"/>
                      <w:spacing w:val="-10"/>
                      <w:sz w:val="21"/>
                      <w:szCs w:val="21"/>
                    </w:rPr>
                    <w:t>态</w:t>
                  </w:r>
                  <w:r>
                    <w:rPr>
                      <w:rFonts w:hint="eastAsia"/>
                      <w:bCs/>
                      <w:color w:val="auto"/>
                      <w:spacing w:val="-10"/>
                      <w:sz w:val="21"/>
                      <w:szCs w:val="21"/>
                      <w:lang w:val="en-US" w:eastAsia="zh-CN"/>
                    </w:rPr>
                    <w:t>及固态</w:t>
                  </w:r>
                </w:p>
              </w:tc>
              <w:tc>
                <w:tcPr>
                  <w:tcW w:w="648" w:type="dxa"/>
                  <w:tcBorders>
                    <w:tl2br w:val="nil"/>
                    <w:tr2bl w:val="nil"/>
                  </w:tcBorders>
                  <w:noWrap w:val="0"/>
                  <w:vAlign w:val="center"/>
                </w:tcPr>
                <w:p w14:paraId="728BB2FB">
                  <w:pPr>
                    <w:adjustRightInd w:val="0"/>
                    <w:snapToGrid w:val="0"/>
                    <w:jc w:val="center"/>
                    <w:rPr>
                      <w:rFonts w:hint="eastAsia"/>
                      <w:bCs/>
                      <w:color w:val="auto"/>
                      <w:spacing w:val="-10"/>
                      <w:sz w:val="21"/>
                      <w:szCs w:val="21"/>
                    </w:rPr>
                  </w:pPr>
                  <w:r>
                    <w:rPr>
                      <w:rFonts w:hint="eastAsia"/>
                      <w:bCs/>
                      <w:color w:val="auto"/>
                      <w:spacing w:val="-10"/>
                      <w:sz w:val="21"/>
                      <w:szCs w:val="21"/>
                    </w:rPr>
                    <w:t>无</w:t>
                  </w:r>
                </w:p>
              </w:tc>
              <w:tc>
                <w:tcPr>
                  <w:tcW w:w="648" w:type="dxa"/>
                  <w:tcBorders>
                    <w:tl2br w:val="nil"/>
                    <w:tr2bl w:val="nil"/>
                  </w:tcBorders>
                  <w:noWrap w:val="0"/>
                  <w:vAlign w:val="center"/>
                </w:tcPr>
                <w:p w14:paraId="6D176D85">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57965</w:t>
                  </w:r>
                </w:p>
              </w:tc>
              <w:tc>
                <w:tcPr>
                  <w:tcW w:w="648" w:type="dxa"/>
                  <w:tcBorders>
                    <w:tl2br w:val="nil"/>
                    <w:tr2bl w:val="nil"/>
                  </w:tcBorders>
                  <w:noWrap w:val="0"/>
                  <w:vAlign w:val="center"/>
                </w:tcPr>
                <w:p w14:paraId="3435E9C1">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不贮存</w:t>
                  </w:r>
                </w:p>
              </w:tc>
              <w:tc>
                <w:tcPr>
                  <w:tcW w:w="648" w:type="dxa"/>
                  <w:tcBorders>
                    <w:tl2br w:val="nil"/>
                    <w:tr2bl w:val="nil"/>
                  </w:tcBorders>
                  <w:noWrap w:val="0"/>
                  <w:vAlign w:val="center"/>
                </w:tcPr>
                <w:p w14:paraId="6F2DA7B8">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委托伊敏盛达实业有限责任公司处置</w:t>
                  </w:r>
                </w:p>
              </w:tc>
              <w:tc>
                <w:tcPr>
                  <w:tcW w:w="650" w:type="dxa"/>
                  <w:tcBorders>
                    <w:tl2br w:val="nil"/>
                    <w:tr2bl w:val="nil"/>
                  </w:tcBorders>
                  <w:noWrap w:val="0"/>
                  <w:vAlign w:val="center"/>
                </w:tcPr>
                <w:p w14:paraId="46E8DCDA">
                  <w:pPr>
                    <w:adjustRightInd w:val="0"/>
                    <w:snapToGrid w:val="0"/>
                    <w:jc w:val="center"/>
                    <w:rPr>
                      <w:rFonts w:hint="default"/>
                      <w:bCs/>
                      <w:color w:val="auto"/>
                      <w:spacing w:val="-10"/>
                      <w:sz w:val="21"/>
                      <w:szCs w:val="21"/>
                      <w:lang w:val="en-US" w:eastAsia="zh-CN"/>
                    </w:rPr>
                  </w:pPr>
                  <w:r>
                    <w:rPr>
                      <w:rFonts w:hint="eastAsia"/>
                      <w:bCs/>
                      <w:color w:val="auto"/>
                      <w:spacing w:val="-10"/>
                      <w:sz w:val="21"/>
                      <w:szCs w:val="21"/>
                      <w:lang w:val="en-US" w:eastAsia="zh-CN"/>
                    </w:rPr>
                    <w:t>57965t</w:t>
                  </w:r>
                </w:p>
              </w:tc>
              <w:tc>
                <w:tcPr>
                  <w:tcW w:w="1003" w:type="dxa"/>
                  <w:tcBorders>
                    <w:tl2br w:val="nil"/>
                    <w:tr2bl w:val="nil"/>
                  </w:tcBorders>
                  <w:noWrap w:val="0"/>
                  <w:vAlign w:val="center"/>
                </w:tcPr>
                <w:p w14:paraId="5CF730E3">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一般工业固体废物执行《一般工业固体废物贮存和填埋污染控制标准》(GB18599-2020)</w:t>
                  </w:r>
                </w:p>
              </w:tc>
            </w:tr>
            <w:tr w14:paraId="581202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48" w:type="dxa"/>
                  <w:tcBorders>
                    <w:tl2br w:val="nil"/>
                    <w:tr2bl w:val="nil"/>
                  </w:tcBorders>
                  <w:noWrap w:val="0"/>
                  <w:vAlign w:val="center"/>
                </w:tcPr>
                <w:p w14:paraId="52398F94">
                  <w:pPr>
                    <w:adjustRightInd w:val="0"/>
                    <w:snapToGrid w:val="0"/>
                    <w:jc w:val="center"/>
                    <w:rPr>
                      <w:rFonts w:hint="eastAsia" w:eastAsia="宋体"/>
                      <w:bCs/>
                      <w:color w:val="auto"/>
                      <w:spacing w:val="-10"/>
                      <w:sz w:val="21"/>
                      <w:szCs w:val="21"/>
                      <w:lang w:eastAsia="zh-CN"/>
                    </w:rPr>
                  </w:pPr>
                  <w:r>
                    <w:rPr>
                      <w:rFonts w:hint="eastAsia"/>
                      <w:bCs/>
                      <w:color w:val="auto"/>
                      <w:spacing w:val="-10"/>
                      <w:sz w:val="21"/>
                      <w:szCs w:val="21"/>
                      <w:lang w:val="en-US" w:eastAsia="zh-CN"/>
                    </w:rPr>
                    <w:t>2</w:t>
                  </w:r>
                </w:p>
              </w:tc>
              <w:tc>
                <w:tcPr>
                  <w:tcW w:w="648" w:type="dxa"/>
                  <w:tcBorders>
                    <w:tl2br w:val="nil"/>
                    <w:tr2bl w:val="nil"/>
                  </w:tcBorders>
                  <w:noWrap w:val="0"/>
                  <w:vAlign w:val="center"/>
                </w:tcPr>
                <w:p w14:paraId="00567673">
                  <w:pPr>
                    <w:adjustRightInd w:val="0"/>
                    <w:snapToGrid w:val="0"/>
                    <w:jc w:val="center"/>
                    <w:rPr>
                      <w:rFonts w:hint="eastAsia" w:eastAsia="宋体"/>
                      <w:bCs/>
                      <w:color w:val="auto"/>
                      <w:spacing w:val="-10"/>
                      <w:sz w:val="21"/>
                      <w:szCs w:val="21"/>
                      <w:lang w:eastAsia="zh-CN"/>
                    </w:rPr>
                  </w:pPr>
                  <w:r>
                    <w:rPr>
                      <w:rFonts w:hint="eastAsia"/>
                      <w:bCs/>
                      <w:color w:val="auto"/>
                      <w:spacing w:val="-10"/>
                      <w:sz w:val="21"/>
                      <w:szCs w:val="21"/>
                      <w:lang w:eastAsia="zh-CN"/>
                    </w:rPr>
                    <w:t>井上施工</w:t>
                  </w:r>
                </w:p>
              </w:tc>
              <w:tc>
                <w:tcPr>
                  <w:tcW w:w="648" w:type="dxa"/>
                  <w:tcBorders>
                    <w:tl2br w:val="nil"/>
                    <w:tr2bl w:val="nil"/>
                  </w:tcBorders>
                  <w:noWrap w:val="0"/>
                  <w:vAlign w:val="center"/>
                </w:tcPr>
                <w:p w14:paraId="183EFEFD">
                  <w:pPr>
                    <w:adjustRightInd w:val="0"/>
                    <w:snapToGrid w:val="0"/>
                    <w:jc w:val="center"/>
                    <w:rPr>
                      <w:rFonts w:hint="eastAsia"/>
                      <w:color w:val="auto"/>
                      <w:sz w:val="21"/>
                      <w:szCs w:val="21"/>
                    </w:rPr>
                  </w:pPr>
                  <w:r>
                    <w:rPr>
                      <w:rFonts w:hint="eastAsia"/>
                      <w:color w:val="auto"/>
                      <w:sz w:val="21"/>
                      <w:szCs w:val="21"/>
                    </w:rPr>
                    <w:t>生活垃圾</w:t>
                  </w:r>
                </w:p>
              </w:tc>
              <w:tc>
                <w:tcPr>
                  <w:tcW w:w="648" w:type="dxa"/>
                  <w:tcBorders>
                    <w:tl2br w:val="nil"/>
                    <w:tr2bl w:val="nil"/>
                  </w:tcBorders>
                  <w:noWrap w:val="0"/>
                  <w:vAlign w:val="center"/>
                </w:tcPr>
                <w:p w14:paraId="4C0639AD">
                  <w:pPr>
                    <w:adjustRightInd w:val="0"/>
                    <w:snapToGrid w:val="0"/>
                    <w:jc w:val="center"/>
                    <w:rPr>
                      <w:bCs/>
                      <w:color w:val="auto"/>
                      <w:spacing w:val="-10"/>
                      <w:sz w:val="21"/>
                      <w:szCs w:val="21"/>
                    </w:rPr>
                  </w:pPr>
                  <w:r>
                    <w:rPr>
                      <w:rFonts w:hint="eastAsia"/>
                      <w:bCs/>
                      <w:color w:val="auto"/>
                      <w:spacing w:val="-10"/>
                      <w:sz w:val="21"/>
                      <w:szCs w:val="21"/>
                    </w:rPr>
                    <w:t>/</w:t>
                  </w:r>
                </w:p>
              </w:tc>
              <w:tc>
                <w:tcPr>
                  <w:tcW w:w="648" w:type="dxa"/>
                  <w:tcBorders>
                    <w:tl2br w:val="nil"/>
                    <w:tr2bl w:val="nil"/>
                  </w:tcBorders>
                  <w:noWrap w:val="0"/>
                  <w:vAlign w:val="center"/>
                </w:tcPr>
                <w:p w14:paraId="0F983811">
                  <w:pPr>
                    <w:adjustRightInd w:val="0"/>
                    <w:snapToGrid w:val="0"/>
                    <w:jc w:val="center"/>
                    <w:rPr>
                      <w:rFonts w:hint="eastAsia"/>
                      <w:bCs/>
                      <w:color w:val="auto"/>
                      <w:spacing w:val="-10"/>
                      <w:sz w:val="21"/>
                      <w:szCs w:val="21"/>
                    </w:rPr>
                  </w:pPr>
                  <w:r>
                    <w:rPr>
                      <w:rFonts w:hint="eastAsia"/>
                      <w:bCs/>
                      <w:color w:val="auto"/>
                      <w:spacing w:val="-10"/>
                      <w:sz w:val="21"/>
                      <w:szCs w:val="21"/>
                    </w:rPr>
                    <w:t>无</w:t>
                  </w:r>
                </w:p>
              </w:tc>
              <w:tc>
                <w:tcPr>
                  <w:tcW w:w="648" w:type="dxa"/>
                  <w:tcBorders>
                    <w:tl2br w:val="nil"/>
                    <w:tr2bl w:val="nil"/>
                  </w:tcBorders>
                  <w:noWrap w:val="0"/>
                  <w:vAlign w:val="center"/>
                </w:tcPr>
                <w:p w14:paraId="4DBF6D59">
                  <w:pPr>
                    <w:adjustRightInd w:val="0"/>
                    <w:snapToGrid w:val="0"/>
                    <w:jc w:val="center"/>
                    <w:rPr>
                      <w:rFonts w:hint="eastAsia"/>
                      <w:bCs/>
                      <w:color w:val="auto"/>
                      <w:spacing w:val="-10"/>
                      <w:sz w:val="21"/>
                      <w:szCs w:val="21"/>
                    </w:rPr>
                  </w:pPr>
                  <w:r>
                    <w:rPr>
                      <w:rFonts w:hint="eastAsia"/>
                      <w:bCs/>
                      <w:color w:val="auto"/>
                      <w:spacing w:val="-10"/>
                      <w:sz w:val="21"/>
                      <w:szCs w:val="21"/>
                    </w:rPr>
                    <w:t>固态</w:t>
                  </w:r>
                </w:p>
              </w:tc>
              <w:tc>
                <w:tcPr>
                  <w:tcW w:w="648" w:type="dxa"/>
                  <w:tcBorders>
                    <w:tl2br w:val="nil"/>
                    <w:tr2bl w:val="nil"/>
                  </w:tcBorders>
                  <w:noWrap w:val="0"/>
                  <w:vAlign w:val="center"/>
                </w:tcPr>
                <w:p w14:paraId="3695517A">
                  <w:pPr>
                    <w:adjustRightInd w:val="0"/>
                    <w:snapToGrid w:val="0"/>
                    <w:jc w:val="center"/>
                    <w:rPr>
                      <w:rFonts w:hint="eastAsia"/>
                      <w:bCs/>
                      <w:color w:val="auto"/>
                      <w:spacing w:val="-10"/>
                      <w:sz w:val="21"/>
                      <w:szCs w:val="21"/>
                    </w:rPr>
                  </w:pPr>
                  <w:r>
                    <w:rPr>
                      <w:rFonts w:hint="eastAsia"/>
                      <w:bCs/>
                      <w:color w:val="auto"/>
                      <w:spacing w:val="-10"/>
                      <w:sz w:val="21"/>
                      <w:szCs w:val="21"/>
                    </w:rPr>
                    <w:t>无</w:t>
                  </w:r>
                </w:p>
              </w:tc>
              <w:tc>
                <w:tcPr>
                  <w:tcW w:w="648" w:type="dxa"/>
                  <w:tcBorders>
                    <w:tl2br w:val="nil"/>
                    <w:tr2bl w:val="nil"/>
                  </w:tcBorders>
                  <w:noWrap w:val="0"/>
                  <w:vAlign w:val="center"/>
                </w:tcPr>
                <w:p w14:paraId="199B2738">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4.8t</w:t>
                  </w:r>
                </w:p>
              </w:tc>
              <w:tc>
                <w:tcPr>
                  <w:tcW w:w="648" w:type="dxa"/>
                  <w:tcBorders>
                    <w:tl2br w:val="nil"/>
                    <w:tr2bl w:val="nil"/>
                  </w:tcBorders>
                  <w:noWrap w:val="0"/>
                  <w:vAlign w:val="center"/>
                </w:tcPr>
                <w:p w14:paraId="03094BD8">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垃圾箱</w:t>
                  </w:r>
                </w:p>
              </w:tc>
              <w:tc>
                <w:tcPr>
                  <w:tcW w:w="648" w:type="dxa"/>
                  <w:tcBorders>
                    <w:tl2br w:val="nil"/>
                    <w:tr2bl w:val="nil"/>
                  </w:tcBorders>
                  <w:noWrap w:val="0"/>
                  <w:vAlign w:val="center"/>
                </w:tcPr>
                <w:p w14:paraId="281E1AC8">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委托呼伦贝尔市石全经贸有限公司处置</w:t>
                  </w:r>
                </w:p>
              </w:tc>
              <w:tc>
                <w:tcPr>
                  <w:tcW w:w="650" w:type="dxa"/>
                  <w:tcBorders>
                    <w:tl2br w:val="nil"/>
                    <w:tr2bl w:val="nil"/>
                  </w:tcBorders>
                  <w:noWrap w:val="0"/>
                  <w:vAlign w:val="center"/>
                </w:tcPr>
                <w:p w14:paraId="69F14C94">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26.4t</w:t>
                  </w:r>
                </w:p>
              </w:tc>
              <w:tc>
                <w:tcPr>
                  <w:tcW w:w="1003" w:type="dxa"/>
                  <w:tcBorders>
                    <w:tl2br w:val="nil"/>
                    <w:tr2bl w:val="nil"/>
                  </w:tcBorders>
                  <w:noWrap w:val="0"/>
                  <w:vAlign w:val="center"/>
                </w:tcPr>
                <w:p w14:paraId="73720C96">
                  <w:pPr>
                    <w:adjustRightInd w:val="0"/>
                    <w:snapToGrid w:val="0"/>
                    <w:jc w:val="center"/>
                    <w:rPr>
                      <w:rFonts w:hint="eastAsia"/>
                      <w:bCs/>
                      <w:color w:val="auto"/>
                      <w:spacing w:val="-10"/>
                      <w:sz w:val="21"/>
                      <w:szCs w:val="21"/>
                      <w:lang w:val="en-US" w:eastAsia="zh-CN"/>
                    </w:rPr>
                  </w:pPr>
                  <w:r>
                    <w:rPr>
                      <w:rFonts w:hint="eastAsia"/>
                      <w:bCs/>
                      <w:color w:val="auto"/>
                      <w:spacing w:val="-10"/>
                      <w:sz w:val="21"/>
                      <w:szCs w:val="21"/>
                      <w:lang w:val="en-US" w:eastAsia="zh-CN"/>
                    </w:rPr>
                    <w:t>/</w:t>
                  </w:r>
                </w:p>
              </w:tc>
            </w:tr>
          </w:tbl>
          <w:p w14:paraId="0B2DA778">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综上所述，本工程产生的各类固体废物均得到妥善处置，对环境造成的影响较小。</w:t>
            </w:r>
          </w:p>
          <w:p w14:paraId="215E180D">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五.噪声环境影响分析</w:t>
            </w:r>
          </w:p>
          <w:p w14:paraId="740ACF0B">
            <w:pPr>
              <w:spacing w:line="360" w:lineRule="auto"/>
              <w:ind w:firstLine="480" w:firstLineChars="200"/>
              <w:rPr>
                <w:rFonts w:hint="eastAsia" w:eastAsia="宋体"/>
                <w:color w:val="auto"/>
                <w:sz w:val="24"/>
                <w:lang w:val="en-US" w:eastAsia="zh-CN"/>
              </w:rPr>
            </w:pPr>
            <w:r>
              <w:rPr>
                <w:rFonts w:hint="eastAsia" w:ascii="Times New Roman" w:hAnsi="Times New Roman" w:eastAsia="宋体" w:cs="Times New Roman"/>
                <w:color w:val="auto"/>
                <w:sz w:val="24"/>
                <w:lang w:val="en-US" w:eastAsia="zh-CN"/>
              </w:rPr>
              <w:t>本工程施工阶段产生的噪声主要为泥水平衡盾构机、装载机、夯土机、推土机、运输车辆等施工机械产生的噪声，</w:t>
            </w:r>
            <w:r>
              <w:rPr>
                <w:rFonts w:hint="eastAsia" w:ascii="Times New Roman" w:hAnsi="Times New Roman" w:eastAsia="宋体" w:cs="Times New Roman"/>
                <w:color w:val="auto"/>
                <w:sz w:val="24"/>
              </w:rPr>
              <w:t>声源强度在80~90dB（A）</w:t>
            </w:r>
            <w:r>
              <w:rPr>
                <w:rFonts w:hint="eastAsia" w:ascii="Times New Roman" w:hAnsi="Times New Roman" w:eastAsia="宋体" w:cs="Times New Roman"/>
                <w:color w:val="auto"/>
                <w:sz w:val="24"/>
                <w:lang w:val="en-US" w:eastAsia="zh-CN"/>
              </w:rPr>
              <w:t>之间</w:t>
            </w:r>
            <w:r>
              <w:rPr>
                <w:rFonts w:hint="eastAsia"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噪声排放时间为7：00-17：00。</w:t>
            </w:r>
            <w:r>
              <w:rPr>
                <w:color w:val="auto"/>
                <w:sz w:val="24"/>
              </w:rPr>
              <w:t>根据点声源噪声衰减模式，估算出离声源不同距离处的噪声值，预测模式如下：</w:t>
            </w:r>
          </w:p>
          <w:p w14:paraId="1C60CBC1">
            <w:pPr>
              <w:spacing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 xml:space="preserve">根据《环境影响评价技术导则 声环境》（HJ2.4－2021）中的要求，本次评价采取导则推荐模式。 </w:t>
            </w:r>
          </w:p>
          <w:p w14:paraId="6AA8393A">
            <w:pPr>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①</w:t>
            </w:r>
            <w:r>
              <w:rPr>
                <w:rFonts w:hint="default" w:ascii="Times New Roman" w:hAnsi="Times New Roman" w:eastAsia="宋体" w:cs="Times New Roman"/>
                <w:color w:val="auto"/>
                <w:sz w:val="24"/>
              </w:rPr>
              <w:t>单个室外的点声源在预测点产生的声级计算公式</w:t>
            </w:r>
          </w:p>
          <w:p w14:paraId="55DF2BB8">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相同方向预测点位置的倍频带声压级LP(r)计算公式：</w:t>
            </w:r>
          </w:p>
          <w:p w14:paraId="2E6EB6D4">
            <w:pPr>
              <w:spacing w:line="360" w:lineRule="auto"/>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0" distR="0">
                  <wp:extent cx="3171825" cy="241300"/>
                  <wp:effectExtent l="0" t="0" r="0" b="0"/>
                  <wp:docPr id="10" name="_x0000_i1029"/>
                  <wp:cNvGraphicFramePr/>
                  <a:graphic xmlns:a="http://schemas.openxmlformats.org/drawingml/2006/main">
                    <a:graphicData uri="http://schemas.openxmlformats.org/drawingml/2006/picture">
                      <pic:pic xmlns:pic="http://schemas.openxmlformats.org/drawingml/2006/picture">
                        <pic:nvPicPr>
                          <pic:cNvPr id="10" name="_x0000_i1029"/>
                          <pic:cNvPicPr/>
                        </pic:nvPicPr>
                        <pic:blipFill>
                          <a:blip r:embed="rId23"/>
                          <a:stretch>
                            <a:fillRect/>
                          </a:stretch>
                        </pic:blipFill>
                        <pic:spPr>
                          <a:xfrm>
                            <a:off x="0" y="0"/>
                            <a:ext cx="3171825" cy="241300"/>
                          </a:xfrm>
                          <a:prstGeom prst="rect">
                            <a:avLst/>
                          </a:prstGeom>
                        </pic:spPr>
                      </pic:pic>
                    </a:graphicData>
                  </a:graphic>
                </wp:inline>
              </w:drawing>
            </w:r>
          </w:p>
          <w:p w14:paraId="2B8F3FE8">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rPr>
              <w:t>式中：Lp(r)—</w:t>
            </w:r>
            <w:r>
              <w:rPr>
                <w:rFonts w:hint="eastAsia" w:ascii="Times New Roman" w:hAnsi="Times New Roman" w:eastAsia="宋体" w:cs="Times New Roman"/>
                <w:color w:val="auto"/>
                <w:sz w:val="24"/>
                <w:lang w:val="en-US" w:eastAsia="zh-CN"/>
              </w:rPr>
              <w:t>预测点处声压级，</w:t>
            </w:r>
            <w:r>
              <w:rPr>
                <w:rFonts w:hint="default" w:ascii="Times New Roman" w:hAnsi="Times New Roman" w:eastAsia="宋体" w:cs="Times New Roman"/>
                <w:color w:val="auto"/>
                <w:sz w:val="24"/>
              </w:rPr>
              <w:t>dB；</w:t>
            </w:r>
          </w:p>
          <w:p w14:paraId="5475D3D1">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Lp(r0)—</w:t>
            </w:r>
            <w:r>
              <w:rPr>
                <w:rFonts w:hint="eastAsia" w:ascii="Times New Roman" w:hAnsi="Times New Roman" w:eastAsia="宋体" w:cs="Times New Roman"/>
                <w:color w:val="auto"/>
                <w:sz w:val="24"/>
                <w:lang w:val="en-US" w:eastAsia="zh-CN"/>
              </w:rPr>
              <w:t>参考位置r0处的</w:t>
            </w:r>
            <w:r>
              <w:rPr>
                <w:rFonts w:hint="default" w:ascii="Times New Roman" w:hAnsi="Times New Roman" w:eastAsia="宋体" w:cs="Times New Roman"/>
                <w:color w:val="auto"/>
                <w:sz w:val="24"/>
              </w:rPr>
              <w:t>声压级，dB；</w:t>
            </w:r>
          </w:p>
          <w:p w14:paraId="4941914C">
            <w:pPr>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Dc</w:t>
            </w:r>
            <w:r>
              <w:rPr>
                <w:rFonts w:hint="default"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指向性校正</w:t>
            </w:r>
            <w:r>
              <w:rPr>
                <w:rFonts w:hint="default"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它描述点声源的等效连续声压级与产生声功率级Lw的全向点声源在规定方向的声级的偏差程度，</w:t>
            </w:r>
            <w:r>
              <w:rPr>
                <w:rFonts w:hint="default" w:ascii="Times New Roman" w:hAnsi="Times New Roman" w:eastAsia="宋体" w:cs="Times New Roman"/>
                <w:color w:val="auto"/>
                <w:sz w:val="24"/>
              </w:rPr>
              <w:t>dB；</w:t>
            </w:r>
          </w:p>
          <w:p w14:paraId="214BEEA9">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Adiv—几何发散引起的衰减，dB；</w:t>
            </w:r>
          </w:p>
          <w:p w14:paraId="6C0BC2AE">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Aatm—大气吸收引起的衰减，dB；</w:t>
            </w:r>
          </w:p>
          <w:p w14:paraId="335CB555">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Agr—地面效应引起的衰减，dB；</w:t>
            </w:r>
          </w:p>
          <w:p w14:paraId="1E6B4B69">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Abar—</w:t>
            </w:r>
            <w:r>
              <w:rPr>
                <w:rFonts w:hint="eastAsia" w:ascii="Times New Roman" w:hAnsi="Times New Roman" w:eastAsia="宋体" w:cs="Times New Roman"/>
                <w:color w:val="auto"/>
                <w:sz w:val="24"/>
                <w:lang w:val="en-US" w:eastAsia="zh-CN"/>
              </w:rPr>
              <w:t>障碍物</w:t>
            </w:r>
            <w:r>
              <w:rPr>
                <w:rFonts w:hint="default" w:ascii="Times New Roman" w:hAnsi="Times New Roman" w:eastAsia="宋体" w:cs="Times New Roman"/>
                <w:color w:val="auto"/>
                <w:sz w:val="24"/>
              </w:rPr>
              <w:t>屏障引起的衰减，dB；</w:t>
            </w:r>
          </w:p>
          <w:p w14:paraId="7C21E2C6">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Amisc—其他多方面效应引起的衰减，dB。</w:t>
            </w:r>
          </w:p>
          <w:p w14:paraId="2CA395FB">
            <w:pPr>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②</w:t>
            </w:r>
            <w:r>
              <w:rPr>
                <w:rFonts w:hint="default" w:ascii="Times New Roman" w:hAnsi="Times New Roman" w:eastAsia="宋体" w:cs="Times New Roman"/>
                <w:color w:val="auto"/>
                <w:sz w:val="24"/>
              </w:rPr>
              <w:t>室内声源等效室外声源声功率级计算方法</w:t>
            </w:r>
          </w:p>
          <w:p w14:paraId="3B819D73">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室外的倍频带声压级</w:t>
            </w:r>
          </w:p>
          <w:p w14:paraId="286A409A">
            <w:pPr>
              <w:spacing w:line="360" w:lineRule="auto"/>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0" distR="0">
                  <wp:extent cx="1266190" cy="241300"/>
                  <wp:effectExtent l="0" t="0" r="0" b="0"/>
                  <wp:docPr id="11" name="_x0000_i1030"/>
                  <wp:cNvGraphicFramePr/>
                  <a:graphic xmlns:a="http://schemas.openxmlformats.org/drawingml/2006/main">
                    <a:graphicData uri="http://schemas.openxmlformats.org/drawingml/2006/picture">
                      <pic:pic xmlns:pic="http://schemas.openxmlformats.org/drawingml/2006/picture">
                        <pic:nvPicPr>
                          <pic:cNvPr id="11" name="_x0000_i1030"/>
                          <pic:cNvPicPr/>
                        </pic:nvPicPr>
                        <pic:blipFill>
                          <a:blip r:embed="rId24"/>
                          <a:stretch>
                            <a:fillRect/>
                          </a:stretch>
                        </pic:blipFill>
                        <pic:spPr>
                          <a:xfrm>
                            <a:off x="0" y="0"/>
                            <a:ext cx="1266190" cy="241300"/>
                          </a:xfrm>
                          <a:prstGeom prst="rect">
                            <a:avLst/>
                          </a:prstGeom>
                        </pic:spPr>
                      </pic:pic>
                    </a:graphicData>
                  </a:graphic>
                </wp:inline>
              </w:drawing>
            </w:r>
          </w:p>
          <w:p w14:paraId="439B8316">
            <w:pPr>
              <w:spacing w:line="360" w:lineRule="auto"/>
              <w:ind w:firstLine="480" w:firstLineChars="200"/>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auto"/>
                <w:sz w:val="24"/>
              </w:rPr>
              <w:t>式中：TL—隔墙（或窗户）倍频带</w:t>
            </w:r>
            <w:r>
              <w:rPr>
                <w:rFonts w:hint="eastAsia" w:ascii="Times New Roman" w:hAnsi="Times New Roman" w:eastAsia="宋体" w:cs="Times New Roman"/>
                <w:color w:val="auto"/>
                <w:sz w:val="24"/>
                <w:lang w:val="en-US" w:eastAsia="zh-CN"/>
              </w:rPr>
              <w:t>或A声级</w:t>
            </w:r>
            <w:r>
              <w:rPr>
                <w:rFonts w:hint="default" w:ascii="Times New Roman" w:hAnsi="Times New Roman" w:eastAsia="宋体" w:cs="Times New Roman"/>
                <w:color w:val="auto"/>
                <w:sz w:val="24"/>
              </w:rPr>
              <w:t>的隔声量，dB</w:t>
            </w:r>
            <w:r>
              <w:rPr>
                <w:rFonts w:hint="eastAsia" w:ascii="Times New Roman" w:hAnsi="Times New Roman" w:eastAsia="宋体" w:cs="Times New Roman"/>
                <w:color w:val="auto"/>
                <w:sz w:val="24"/>
                <w:lang w:eastAsia="zh-CN"/>
              </w:rPr>
              <w:t>；</w:t>
            </w:r>
          </w:p>
          <w:p w14:paraId="67DFB04A">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rPr>
              <w:t>Lp</w:t>
            </w:r>
            <w:r>
              <w:rPr>
                <w:rFonts w:hint="eastAsia"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靠近开口处（或窗户）室内某倍频带的声压级或A声级，dB；</w:t>
            </w:r>
          </w:p>
          <w:p w14:paraId="260941E9">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Lp</w:t>
            </w:r>
            <w:r>
              <w:rPr>
                <w:rFonts w:hint="eastAsia" w:ascii="Times New Roman" w:hAnsi="Times New Roman" w:eastAsia="宋体" w:cs="Times New Roman"/>
                <w:color w:val="auto"/>
                <w:sz w:val="24"/>
                <w:lang w:val="en-US" w:eastAsia="zh-CN"/>
              </w:rPr>
              <w:t>2</w:t>
            </w:r>
            <w:r>
              <w:rPr>
                <w:rFonts w:hint="default"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靠近开口处（或窗户）室内某倍频带的声压级或A声级，dB</w:t>
            </w:r>
          </w:p>
          <w:p w14:paraId="7C82F99A">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某一室内声源靠近围护结构处产生的倍频带声压级</w:t>
            </w:r>
          </w:p>
          <w:p w14:paraId="0DBC5C8E">
            <w:pPr>
              <w:spacing w:line="360" w:lineRule="auto"/>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0" distR="0">
                  <wp:extent cx="1727200" cy="387985"/>
                  <wp:effectExtent l="0" t="0" r="0" b="0"/>
                  <wp:docPr id="12" name="_x0000_i1031"/>
                  <wp:cNvGraphicFramePr/>
                  <a:graphic xmlns:a="http://schemas.openxmlformats.org/drawingml/2006/main">
                    <a:graphicData uri="http://schemas.openxmlformats.org/drawingml/2006/picture">
                      <pic:pic xmlns:pic="http://schemas.openxmlformats.org/drawingml/2006/picture">
                        <pic:nvPicPr>
                          <pic:cNvPr id="12" name="_x0000_i1031"/>
                          <pic:cNvPicPr/>
                        </pic:nvPicPr>
                        <pic:blipFill>
                          <a:blip r:embed="rId25"/>
                          <a:stretch>
                            <a:fillRect/>
                          </a:stretch>
                        </pic:blipFill>
                        <pic:spPr>
                          <a:xfrm>
                            <a:off x="0" y="0"/>
                            <a:ext cx="1727200" cy="387985"/>
                          </a:xfrm>
                          <a:prstGeom prst="rect">
                            <a:avLst/>
                          </a:prstGeom>
                        </pic:spPr>
                      </pic:pic>
                    </a:graphicData>
                  </a:graphic>
                </wp:inline>
              </w:drawing>
            </w:r>
          </w:p>
          <w:p w14:paraId="4D74E79E">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式中：Q—指向性因数；</w:t>
            </w:r>
          </w:p>
          <w:p w14:paraId="224A6463">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R—房间常数；</w:t>
            </w:r>
          </w:p>
          <w:p w14:paraId="1BB59FE6">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r—声源在靠近围护结构某点处的距离，m。</w:t>
            </w:r>
          </w:p>
          <w:p w14:paraId="0D2517D9">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室内声源在围护结构处产生的i倍频带叠加声压级：</w:t>
            </w:r>
          </w:p>
          <w:p w14:paraId="14544140">
            <w:pPr>
              <w:spacing w:line="360" w:lineRule="auto"/>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0" distR="0">
                  <wp:extent cx="1668145" cy="447040"/>
                  <wp:effectExtent l="0" t="0" r="0" b="0"/>
                  <wp:docPr id="13" name="_x0000_i1032"/>
                  <wp:cNvGraphicFramePr/>
                  <a:graphic xmlns:a="http://schemas.openxmlformats.org/drawingml/2006/main">
                    <a:graphicData uri="http://schemas.openxmlformats.org/drawingml/2006/picture">
                      <pic:pic xmlns:pic="http://schemas.openxmlformats.org/drawingml/2006/picture">
                        <pic:nvPicPr>
                          <pic:cNvPr id="13" name="_x0000_i1032"/>
                          <pic:cNvPicPr/>
                        </pic:nvPicPr>
                        <pic:blipFill>
                          <a:blip r:embed="rId26"/>
                          <a:stretch>
                            <a:fillRect/>
                          </a:stretch>
                        </pic:blipFill>
                        <pic:spPr>
                          <a:xfrm>
                            <a:off x="0" y="0"/>
                            <a:ext cx="1668145" cy="447040"/>
                          </a:xfrm>
                          <a:prstGeom prst="rect">
                            <a:avLst/>
                          </a:prstGeom>
                        </pic:spPr>
                      </pic:pic>
                    </a:graphicData>
                  </a:graphic>
                </wp:inline>
              </w:drawing>
            </w:r>
          </w:p>
          <w:p w14:paraId="03CE058C">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式中：Lp1i(T)—靠近围护结构处室内N个声源i倍频带的叠加声压级，dB；</w:t>
            </w:r>
          </w:p>
          <w:p w14:paraId="0425124A">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Lp1ij—室内j声源i倍频带的声压级，dB；</w:t>
            </w:r>
          </w:p>
          <w:p w14:paraId="40E04030">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N—室内声源总数。</w:t>
            </w:r>
          </w:p>
          <w:p w14:paraId="4D13FDC6">
            <w:pPr>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③</w:t>
            </w:r>
            <w:r>
              <w:rPr>
                <w:rFonts w:hint="default" w:ascii="Times New Roman" w:hAnsi="Times New Roman" w:eastAsia="宋体" w:cs="Times New Roman"/>
                <w:color w:val="auto"/>
                <w:sz w:val="24"/>
              </w:rPr>
              <w:t>噪声贡献值计算</w:t>
            </w:r>
          </w:p>
          <w:p w14:paraId="6B828FC8">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拟建项目声源对预测点产生的贡献值为：</w:t>
            </w:r>
          </w:p>
          <w:p w14:paraId="7E09C10E">
            <w:pPr>
              <w:spacing w:line="360" w:lineRule="auto"/>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0" distR="0">
                  <wp:extent cx="2610485" cy="511810"/>
                  <wp:effectExtent l="0" t="0" r="0" b="0"/>
                  <wp:docPr id="14" name="_x0000_i1033"/>
                  <wp:cNvGraphicFramePr/>
                  <a:graphic xmlns:a="http://schemas.openxmlformats.org/drawingml/2006/main">
                    <a:graphicData uri="http://schemas.openxmlformats.org/drawingml/2006/picture">
                      <pic:pic xmlns:pic="http://schemas.openxmlformats.org/drawingml/2006/picture">
                        <pic:nvPicPr>
                          <pic:cNvPr id="14" name="_x0000_i1033"/>
                          <pic:cNvPicPr/>
                        </pic:nvPicPr>
                        <pic:blipFill>
                          <a:blip r:embed="rId27"/>
                          <a:stretch>
                            <a:fillRect/>
                          </a:stretch>
                        </pic:blipFill>
                        <pic:spPr>
                          <a:xfrm>
                            <a:off x="0" y="0"/>
                            <a:ext cx="2610485" cy="511810"/>
                          </a:xfrm>
                          <a:prstGeom prst="rect">
                            <a:avLst/>
                          </a:prstGeom>
                        </pic:spPr>
                      </pic:pic>
                    </a:graphicData>
                  </a:graphic>
                </wp:inline>
              </w:drawing>
            </w:r>
          </w:p>
          <w:p w14:paraId="243FCCFF">
            <w:pPr>
              <w:spacing w:line="360" w:lineRule="auto"/>
              <w:ind w:firstLine="480" w:firstLineChars="200"/>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auto"/>
                <w:sz w:val="24"/>
              </w:rPr>
              <w:t>式中：Leqg—建设项目声源在预测点的等效声级贡献值，dB(A)</w:t>
            </w:r>
            <w:r>
              <w:rPr>
                <w:rFonts w:hint="eastAsia" w:ascii="Times New Roman" w:hAnsi="Times New Roman" w:eastAsia="宋体" w:cs="Times New Roman"/>
                <w:color w:val="auto"/>
                <w:sz w:val="24"/>
                <w:lang w:eastAsia="zh-CN"/>
              </w:rPr>
              <w:t>；</w:t>
            </w:r>
          </w:p>
          <w:p w14:paraId="3F156FA0">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tj—在T时间内j声源工作时间，s；</w:t>
            </w:r>
          </w:p>
          <w:p w14:paraId="722583BF">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ti—在T时间内i声源工作时间，s；</w:t>
            </w:r>
          </w:p>
          <w:p w14:paraId="2A5A9989">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T—用于计算等效声级的时间，s；</w:t>
            </w:r>
          </w:p>
          <w:p w14:paraId="6E571146">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N—室外声源个数；</w:t>
            </w:r>
          </w:p>
          <w:p w14:paraId="3DCE3B08">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M—等效室外声源个数。</w:t>
            </w:r>
          </w:p>
          <w:p w14:paraId="005CA9AD">
            <w:pPr>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④</w:t>
            </w:r>
            <w:r>
              <w:rPr>
                <w:rFonts w:hint="default" w:ascii="Times New Roman" w:hAnsi="Times New Roman" w:eastAsia="宋体" w:cs="Times New Roman"/>
                <w:color w:val="auto"/>
                <w:sz w:val="24"/>
              </w:rPr>
              <w:t>预测值计算</w:t>
            </w:r>
          </w:p>
          <w:p w14:paraId="2FA33369">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预测点的</w:t>
            </w:r>
            <w:r>
              <w:rPr>
                <w:rFonts w:hint="eastAsia" w:ascii="Times New Roman" w:hAnsi="Times New Roman" w:eastAsia="宋体" w:cs="Times New Roman"/>
                <w:color w:val="auto"/>
                <w:sz w:val="24"/>
                <w:lang w:val="en-US" w:eastAsia="zh-CN"/>
              </w:rPr>
              <w:t>噪声预测</w:t>
            </w:r>
            <w:r>
              <w:rPr>
                <w:rFonts w:hint="default" w:ascii="Times New Roman" w:hAnsi="Times New Roman" w:eastAsia="宋体" w:cs="Times New Roman"/>
                <w:color w:val="auto"/>
                <w:sz w:val="24"/>
              </w:rPr>
              <w:t>值（Leq）计算公式：</w:t>
            </w:r>
          </w:p>
          <w:p w14:paraId="107A87E1">
            <w:pPr>
              <w:spacing w:line="360" w:lineRule="auto"/>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0" distR="0">
                  <wp:extent cx="1709420" cy="268605"/>
                  <wp:effectExtent l="0" t="0" r="0" b="0"/>
                  <wp:docPr id="15" name="_x0000_i1034"/>
                  <wp:cNvGraphicFramePr/>
                  <a:graphic xmlns:a="http://schemas.openxmlformats.org/drawingml/2006/main">
                    <a:graphicData uri="http://schemas.openxmlformats.org/drawingml/2006/picture">
                      <pic:pic xmlns:pic="http://schemas.openxmlformats.org/drawingml/2006/picture">
                        <pic:nvPicPr>
                          <pic:cNvPr id="15" name="_x0000_i1034"/>
                          <pic:cNvPicPr/>
                        </pic:nvPicPr>
                        <pic:blipFill>
                          <a:blip r:embed="rId28"/>
                          <a:stretch>
                            <a:fillRect/>
                          </a:stretch>
                        </pic:blipFill>
                        <pic:spPr>
                          <a:xfrm>
                            <a:off x="0" y="0"/>
                            <a:ext cx="1709420" cy="268605"/>
                          </a:xfrm>
                          <a:prstGeom prst="rect">
                            <a:avLst/>
                          </a:prstGeom>
                        </pic:spPr>
                      </pic:pic>
                    </a:graphicData>
                  </a:graphic>
                </wp:inline>
              </w:drawing>
            </w:r>
          </w:p>
          <w:p w14:paraId="180D9388">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式中：Leq—预测点的</w:t>
            </w:r>
            <w:r>
              <w:rPr>
                <w:rFonts w:hint="eastAsia" w:ascii="Times New Roman" w:hAnsi="Times New Roman" w:eastAsia="宋体" w:cs="Times New Roman"/>
                <w:color w:val="auto"/>
                <w:sz w:val="24"/>
                <w:lang w:val="en-US" w:eastAsia="zh-CN"/>
              </w:rPr>
              <w:t>噪声预测</w:t>
            </w:r>
            <w:r>
              <w:rPr>
                <w:rFonts w:hint="default" w:ascii="Times New Roman" w:hAnsi="Times New Roman" w:eastAsia="宋体" w:cs="Times New Roman"/>
                <w:color w:val="auto"/>
                <w:sz w:val="24"/>
              </w:rPr>
              <w:t>值，dB；</w:t>
            </w:r>
          </w:p>
          <w:p w14:paraId="2644C476">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Leqg—建设项目声源在预测点</w:t>
            </w:r>
            <w:r>
              <w:rPr>
                <w:rFonts w:hint="eastAsia" w:ascii="Times New Roman" w:hAnsi="Times New Roman" w:eastAsia="宋体" w:cs="Times New Roman"/>
                <w:color w:val="auto"/>
                <w:sz w:val="24"/>
                <w:lang w:val="en-US" w:eastAsia="zh-CN"/>
              </w:rPr>
              <w:t>产生</w:t>
            </w:r>
            <w:r>
              <w:rPr>
                <w:rFonts w:hint="default" w:ascii="Times New Roman" w:hAnsi="Times New Roman" w:eastAsia="宋体" w:cs="Times New Roman"/>
                <w:color w:val="auto"/>
                <w:sz w:val="24"/>
              </w:rPr>
              <w:t>的</w:t>
            </w:r>
            <w:r>
              <w:rPr>
                <w:rFonts w:hint="eastAsia" w:ascii="Times New Roman" w:hAnsi="Times New Roman" w:eastAsia="宋体" w:cs="Times New Roman"/>
                <w:color w:val="auto"/>
                <w:sz w:val="24"/>
                <w:lang w:val="en-US" w:eastAsia="zh-CN"/>
              </w:rPr>
              <w:t>噪声</w:t>
            </w:r>
            <w:r>
              <w:rPr>
                <w:rFonts w:hint="default" w:ascii="Times New Roman" w:hAnsi="Times New Roman" w:eastAsia="宋体" w:cs="Times New Roman"/>
                <w:color w:val="auto"/>
                <w:sz w:val="24"/>
              </w:rPr>
              <w:t>贡献值，dB；</w:t>
            </w:r>
          </w:p>
          <w:p w14:paraId="39A81954">
            <w:pPr>
              <w:spacing w:line="360" w:lineRule="auto"/>
              <w:ind w:firstLine="480" w:firstLineChars="200"/>
              <w:rPr>
                <w:rFonts w:ascii="Times New Roman" w:hAnsi="Times New Roman" w:eastAsia="宋体" w:cs="Times New Roman"/>
                <w:color w:val="auto"/>
                <w:sz w:val="24"/>
              </w:rPr>
            </w:pPr>
            <w:r>
              <w:rPr>
                <w:rFonts w:hint="default" w:ascii="Times New Roman" w:hAnsi="Times New Roman" w:eastAsia="宋体" w:cs="Times New Roman"/>
                <w:color w:val="auto"/>
                <w:sz w:val="24"/>
              </w:rPr>
              <w:t>Leqb—预测点的背景</w:t>
            </w:r>
            <w:r>
              <w:rPr>
                <w:rFonts w:hint="eastAsia" w:ascii="Times New Roman" w:hAnsi="Times New Roman" w:eastAsia="宋体" w:cs="Times New Roman"/>
                <w:color w:val="auto"/>
                <w:sz w:val="24"/>
                <w:lang w:val="en-US" w:eastAsia="zh-CN"/>
              </w:rPr>
              <w:t>噪声</w:t>
            </w:r>
            <w:r>
              <w:rPr>
                <w:rFonts w:hint="default" w:ascii="Times New Roman" w:hAnsi="Times New Roman" w:eastAsia="宋体" w:cs="Times New Roman"/>
                <w:color w:val="auto"/>
                <w:sz w:val="24"/>
              </w:rPr>
              <w:t>值，dB</w:t>
            </w:r>
            <w:r>
              <w:rPr>
                <w:rFonts w:ascii="Times New Roman" w:hAnsi="Times New Roman" w:eastAsia="宋体" w:cs="Times New Roman"/>
                <w:color w:val="auto"/>
                <w:sz w:val="24"/>
              </w:rPr>
              <w:t>。</w:t>
            </w:r>
          </w:p>
          <w:p w14:paraId="4E4FA179">
            <w:pPr>
              <w:spacing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 xml:space="preserve">在预测中考虑反射引起的修正、屏障引起的衰减、双绕射、室内声源等效室外声源等影响和计算方法。 </w:t>
            </w:r>
          </w:p>
          <w:p w14:paraId="3B7CAFB0">
            <w:pPr>
              <w:spacing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本工程投产后</w:t>
            </w:r>
            <w:r>
              <w:rPr>
                <w:rFonts w:hint="eastAsia" w:ascii="Times New Roman" w:hAnsi="Times New Roman" w:eastAsia="宋体" w:cs="Times New Roman"/>
                <w:color w:val="auto"/>
                <w:sz w:val="24"/>
                <w:lang w:val="en-US" w:eastAsia="zh-CN"/>
              </w:rPr>
              <w:t>噪声</w:t>
            </w:r>
            <w:r>
              <w:rPr>
                <w:rFonts w:ascii="Times New Roman" w:hAnsi="Times New Roman" w:eastAsia="宋体" w:cs="Times New Roman"/>
                <w:color w:val="auto"/>
                <w:sz w:val="24"/>
              </w:rPr>
              <w:t>预测结果见表</w:t>
            </w:r>
            <w:r>
              <w:rPr>
                <w:rFonts w:hint="eastAsia" w:ascii="Times New Roman" w:hAnsi="Times New Roman" w:eastAsia="宋体" w:cs="Times New Roman"/>
                <w:color w:val="auto"/>
                <w:sz w:val="24"/>
              </w:rPr>
              <w:t>4-2</w:t>
            </w:r>
            <w:r>
              <w:rPr>
                <w:rFonts w:ascii="Times New Roman" w:hAnsi="Times New Roman" w:eastAsia="宋体" w:cs="Times New Roman"/>
                <w:color w:val="auto"/>
                <w:sz w:val="24"/>
              </w:rPr>
              <w:t>。</w:t>
            </w:r>
          </w:p>
          <w:p w14:paraId="2264C017">
            <w:pPr>
              <w:pStyle w:val="25"/>
              <w:tabs>
                <w:tab w:val="left" w:pos="0"/>
                <w:tab w:val="left" w:pos="7012"/>
              </w:tabs>
              <w:spacing w:before="78" w:after="78"/>
              <w:ind w:firstLine="422"/>
              <w:rPr>
                <w:rFonts w:ascii="Times New Roman" w:hAnsi="Times New Roman"/>
                <w:color w:val="auto"/>
              </w:rPr>
            </w:pPr>
            <w:r>
              <w:rPr>
                <w:rFonts w:ascii="Times New Roman" w:hAnsi="Times New Roman"/>
                <w:color w:val="auto"/>
              </w:rPr>
              <w:t>表</w:t>
            </w:r>
            <w:r>
              <w:rPr>
                <w:rFonts w:hint="eastAsia" w:ascii="Times New Roman" w:hAnsi="Times New Roman"/>
                <w:color w:val="auto"/>
              </w:rPr>
              <w:t>4-</w:t>
            </w:r>
            <w:r>
              <w:rPr>
                <w:rFonts w:hint="eastAsia" w:ascii="Times New Roman" w:hAnsi="Times New Roman"/>
                <w:color w:val="auto"/>
                <w:lang w:val="en-US" w:eastAsia="zh-CN"/>
              </w:rPr>
              <w:t>2</w:t>
            </w:r>
            <w:r>
              <w:rPr>
                <w:rFonts w:hint="eastAsia" w:ascii="Times New Roman" w:hAnsi="Times New Roman"/>
                <w:color w:val="auto"/>
              </w:rPr>
              <w:t xml:space="preserve">    </w:t>
            </w:r>
            <w:r>
              <w:rPr>
                <w:rFonts w:ascii="Times New Roman" w:hAnsi="Times New Roman"/>
                <w:color w:val="auto"/>
              </w:rPr>
              <w:t>本工程厂界噪声预测结果    单位：dB(A)</w:t>
            </w:r>
          </w:p>
          <w:tbl>
            <w:tblPr>
              <w:tblStyle w:val="1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316"/>
              <w:gridCol w:w="1450"/>
              <w:gridCol w:w="548"/>
              <w:gridCol w:w="548"/>
              <w:gridCol w:w="548"/>
              <w:gridCol w:w="548"/>
              <w:gridCol w:w="548"/>
              <w:gridCol w:w="548"/>
              <w:gridCol w:w="548"/>
              <w:gridCol w:w="548"/>
              <w:gridCol w:w="567"/>
              <w:gridCol w:w="707"/>
              <w:gridCol w:w="709"/>
            </w:tblGrid>
            <w:tr w14:paraId="3B5F0A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194" w:type="pct"/>
                  <w:vMerge w:val="restart"/>
                  <w:tcBorders>
                    <w:tl2br w:val="nil"/>
                    <w:tr2bl w:val="nil"/>
                  </w:tcBorders>
                  <w:vAlign w:val="center"/>
                </w:tcPr>
                <w:p w14:paraId="57A60E41">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序号</w:t>
                  </w:r>
                </w:p>
              </w:tc>
              <w:tc>
                <w:tcPr>
                  <w:tcW w:w="891" w:type="pct"/>
                  <w:vMerge w:val="restart"/>
                  <w:tcBorders>
                    <w:tl2br w:val="nil"/>
                    <w:tr2bl w:val="nil"/>
                  </w:tcBorders>
                  <w:vAlign w:val="center"/>
                </w:tcPr>
                <w:p w14:paraId="4CB2753A">
                  <w:pPr>
                    <w:pStyle w:val="9"/>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设备名称</w:t>
                  </w:r>
                </w:p>
              </w:tc>
              <w:tc>
                <w:tcPr>
                  <w:tcW w:w="3044" w:type="pct"/>
                  <w:gridSpan w:val="9"/>
                  <w:tcBorders>
                    <w:tl2br w:val="nil"/>
                    <w:tr2bl w:val="nil"/>
                  </w:tcBorders>
                  <w:vAlign w:val="center"/>
                </w:tcPr>
                <w:p w14:paraId="7EAC6AEE">
                  <w:pPr>
                    <w:pStyle w:val="9"/>
                    <w:ind w:right="-210" w:rightChars="-10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噪声预测值</w:t>
                  </w:r>
                </w:p>
              </w:tc>
              <w:tc>
                <w:tcPr>
                  <w:tcW w:w="869" w:type="pct"/>
                  <w:gridSpan w:val="2"/>
                  <w:tcBorders>
                    <w:tl2br w:val="nil"/>
                    <w:tr2bl w:val="nil"/>
                  </w:tcBorders>
                  <w:vAlign w:val="center"/>
                </w:tcPr>
                <w:p w14:paraId="121582CC">
                  <w:pPr>
                    <w:pStyle w:val="9"/>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施工场界最大达标距离（m）</w:t>
                  </w:r>
                </w:p>
              </w:tc>
            </w:tr>
            <w:tr w14:paraId="7A0D9C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194" w:type="pct"/>
                  <w:vMerge w:val="continue"/>
                  <w:tcBorders>
                    <w:tl2br w:val="nil"/>
                    <w:tr2bl w:val="nil"/>
                  </w:tcBorders>
                  <w:vAlign w:val="center"/>
                </w:tcPr>
                <w:p w14:paraId="5585DE19">
                  <w:pPr>
                    <w:snapToGrid w:val="0"/>
                    <w:jc w:val="center"/>
                    <w:rPr>
                      <w:rFonts w:hint="default" w:ascii="Times New Roman" w:hAnsi="Times New Roman" w:cs="Times New Roman"/>
                      <w:color w:val="auto"/>
                      <w:sz w:val="21"/>
                      <w:szCs w:val="21"/>
                    </w:rPr>
                  </w:pPr>
                </w:p>
              </w:tc>
              <w:tc>
                <w:tcPr>
                  <w:tcW w:w="891" w:type="pct"/>
                  <w:vMerge w:val="continue"/>
                  <w:tcBorders>
                    <w:tl2br w:val="nil"/>
                    <w:tr2bl w:val="nil"/>
                  </w:tcBorders>
                  <w:vAlign w:val="center"/>
                </w:tcPr>
                <w:p w14:paraId="698E47E3">
                  <w:pPr>
                    <w:snapToGrid w:val="0"/>
                    <w:jc w:val="center"/>
                    <w:rPr>
                      <w:rFonts w:hint="default" w:ascii="Times New Roman" w:hAnsi="Times New Roman" w:cs="Times New Roman"/>
                      <w:color w:val="auto"/>
                      <w:sz w:val="21"/>
                      <w:szCs w:val="21"/>
                    </w:rPr>
                  </w:pPr>
                </w:p>
              </w:tc>
              <w:tc>
                <w:tcPr>
                  <w:tcW w:w="337" w:type="pct"/>
                  <w:tcBorders>
                    <w:tl2br w:val="nil"/>
                    <w:tr2bl w:val="nil"/>
                  </w:tcBorders>
                  <w:vAlign w:val="center"/>
                </w:tcPr>
                <w:p w14:paraId="5A352F00">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5m</w:t>
                  </w:r>
                </w:p>
              </w:tc>
              <w:tc>
                <w:tcPr>
                  <w:tcW w:w="337" w:type="pct"/>
                  <w:tcBorders>
                    <w:tl2br w:val="nil"/>
                    <w:tr2bl w:val="nil"/>
                  </w:tcBorders>
                  <w:vAlign w:val="center"/>
                </w:tcPr>
                <w:p w14:paraId="3BAD16DC">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10m</w:t>
                  </w:r>
                </w:p>
              </w:tc>
              <w:tc>
                <w:tcPr>
                  <w:tcW w:w="337" w:type="pct"/>
                  <w:tcBorders>
                    <w:tl2br w:val="nil"/>
                    <w:tr2bl w:val="nil"/>
                  </w:tcBorders>
                  <w:vAlign w:val="center"/>
                </w:tcPr>
                <w:p w14:paraId="6FD40670">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20m</w:t>
                  </w:r>
                </w:p>
              </w:tc>
              <w:tc>
                <w:tcPr>
                  <w:tcW w:w="337" w:type="pct"/>
                  <w:tcBorders>
                    <w:tl2br w:val="nil"/>
                    <w:tr2bl w:val="nil"/>
                  </w:tcBorders>
                  <w:vAlign w:val="center"/>
                </w:tcPr>
                <w:p w14:paraId="7646861E">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40m</w:t>
                  </w:r>
                </w:p>
              </w:tc>
              <w:tc>
                <w:tcPr>
                  <w:tcW w:w="337" w:type="pct"/>
                  <w:tcBorders>
                    <w:tl2br w:val="nil"/>
                    <w:tr2bl w:val="nil"/>
                  </w:tcBorders>
                  <w:vAlign w:val="center"/>
                </w:tcPr>
                <w:p w14:paraId="45CAA1E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80m</w:t>
                  </w:r>
                </w:p>
              </w:tc>
              <w:tc>
                <w:tcPr>
                  <w:tcW w:w="337" w:type="pct"/>
                  <w:tcBorders>
                    <w:tl2br w:val="nil"/>
                    <w:tr2bl w:val="nil"/>
                  </w:tcBorders>
                  <w:vAlign w:val="center"/>
                </w:tcPr>
                <w:p w14:paraId="77354836">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160m</w:t>
                  </w:r>
                </w:p>
              </w:tc>
              <w:tc>
                <w:tcPr>
                  <w:tcW w:w="337" w:type="pct"/>
                  <w:tcBorders>
                    <w:tl2br w:val="nil"/>
                    <w:tr2bl w:val="nil"/>
                  </w:tcBorders>
                  <w:vAlign w:val="center"/>
                </w:tcPr>
                <w:p w14:paraId="6E8EAB3E">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200m</w:t>
                  </w:r>
                </w:p>
              </w:tc>
              <w:tc>
                <w:tcPr>
                  <w:tcW w:w="337" w:type="pct"/>
                  <w:tcBorders>
                    <w:tl2br w:val="nil"/>
                    <w:tr2bl w:val="nil"/>
                  </w:tcBorders>
                  <w:vAlign w:val="center"/>
                </w:tcPr>
                <w:p w14:paraId="6FBA03B7">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400m</w:t>
                  </w:r>
                </w:p>
              </w:tc>
              <w:tc>
                <w:tcPr>
                  <w:tcW w:w="346" w:type="pct"/>
                  <w:tcBorders>
                    <w:tl2br w:val="nil"/>
                    <w:tr2bl w:val="nil"/>
                  </w:tcBorders>
                  <w:vAlign w:val="center"/>
                </w:tcPr>
                <w:p w14:paraId="59CF281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500</w:t>
                  </w:r>
                </w:p>
              </w:tc>
              <w:tc>
                <w:tcPr>
                  <w:tcW w:w="434" w:type="pct"/>
                  <w:tcBorders>
                    <w:tl2br w:val="nil"/>
                    <w:tr2bl w:val="nil"/>
                  </w:tcBorders>
                  <w:vAlign w:val="center"/>
                </w:tcPr>
                <w:p w14:paraId="67792481">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昼间</w:t>
                  </w:r>
                </w:p>
              </w:tc>
              <w:tc>
                <w:tcPr>
                  <w:tcW w:w="435" w:type="pct"/>
                  <w:tcBorders>
                    <w:tl2br w:val="nil"/>
                    <w:tr2bl w:val="nil"/>
                  </w:tcBorders>
                  <w:vAlign w:val="center"/>
                </w:tcPr>
                <w:p w14:paraId="3789AF3E">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夜间</w:t>
                  </w:r>
                </w:p>
              </w:tc>
            </w:tr>
            <w:tr w14:paraId="3FED4F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194" w:type="pct"/>
                  <w:tcBorders>
                    <w:tl2br w:val="nil"/>
                    <w:tr2bl w:val="nil"/>
                  </w:tcBorders>
                  <w:vAlign w:val="center"/>
                </w:tcPr>
                <w:p w14:paraId="280A9BEB">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w:t>
                  </w:r>
                </w:p>
              </w:tc>
              <w:tc>
                <w:tcPr>
                  <w:tcW w:w="891" w:type="pct"/>
                  <w:tcBorders>
                    <w:tl2br w:val="nil"/>
                    <w:tr2bl w:val="nil"/>
                  </w:tcBorders>
                  <w:vAlign w:val="center"/>
                </w:tcPr>
                <w:p w14:paraId="6E7D2A88">
                  <w:pPr>
                    <w:snapToGrid w:val="0"/>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泥水平衡盾构机</w:t>
                  </w:r>
                </w:p>
              </w:tc>
              <w:tc>
                <w:tcPr>
                  <w:tcW w:w="337" w:type="pct"/>
                  <w:tcBorders>
                    <w:tl2br w:val="nil"/>
                    <w:tr2bl w:val="nil"/>
                  </w:tcBorders>
                  <w:vAlign w:val="center"/>
                </w:tcPr>
                <w:p w14:paraId="469A1E8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86</w:t>
                  </w:r>
                </w:p>
              </w:tc>
              <w:tc>
                <w:tcPr>
                  <w:tcW w:w="337" w:type="pct"/>
                  <w:tcBorders>
                    <w:tl2br w:val="nil"/>
                    <w:tr2bl w:val="nil"/>
                  </w:tcBorders>
                  <w:vAlign w:val="center"/>
                </w:tcPr>
                <w:p w14:paraId="3D61193D">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80</w:t>
                  </w:r>
                </w:p>
              </w:tc>
              <w:tc>
                <w:tcPr>
                  <w:tcW w:w="337" w:type="pct"/>
                  <w:tcBorders>
                    <w:tl2br w:val="nil"/>
                    <w:tr2bl w:val="nil"/>
                  </w:tcBorders>
                  <w:vAlign w:val="center"/>
                </w:tcPr>
                <w:p w14:paraId="4788924A">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74</w:t>
                  </w:r>
                </w:p>
              </w:tc>
              <w:tc>
                <w:tcPr>
                  <w:tcW w:w="337" w:type="pct"/>
                  <w:tcBorders>
                    <w:tl2br w:val="nil"/>
                    <w:tr2bl w:val="nil"/>
                  </w:tcBorders>
                  <w:vAlign w:val="center"/>
                </w:tcPr>
                <w:p w14:paraId="35D00FDE">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68</w:t>
                  </w:r>
                </w:p>
              </w:tc>
              <w:tc>
                <w:tcPr>
                  <w:tcW w:w="337" w:type="pct"/>
                  <w:tcBorders>
                    <w:tl2br w:val="nil"/>
                    <w:tr2bl w:val="nil"/>
                  </w:tcBorders>
                  <w:vAlign w:val="center"/>
                </w:tcPr>
                <w:p w14:paraId="41F715E1">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62</w:t>
                  </w:r>
                </w:p>
              </w:tc>
              <w:tc>
                <w:tcPr>
                  <w:tcW w:w="337" w:type="pct"/>
                  <w:tcBorders>
                    <w:tl2br w:val="nil"/>
                    <w:tr2bl w:val="nil"/>
                  </w:tcBorders>
                  <w:vAlign w:val="center"/>
                </w:tcPr>
                <w:p w14:paraId="360D0CE3">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56</w:t>
                  </w:r>
                </w:p>
              </w:tc>
              <w:tc>
                <w:tcPr>
                  <w:tcW w:w="337" w:type="pct"/>
                  <w:tcBorders>
                    <w:tl2br w:val="nil"/>
                    <w:tr2bl w:val="nil"/>
                  </w:tcBorders>
                  <w:vAlign w:val="center"/>
                </w:tcPr>
                <w:p w14:paraId="3F4BA91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54</w:t>
                  </w:r>
                </w:p>
              </w:tc>
              <w:tc>
                <w:tcPr>
                  <w:tcW w:w="337" w:type="pct"/>
                  <w:tcBorders>
                    <w:tl2br w:val="nil"/>
                    <w:tr2bl w:val="nil"/>
                  </w:tcBorders>
                  <w:vAlign w:val="center"/>
                </w:tcPr>
                <w:p w14:paraId="42E60462">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48</w:t>
                  </w:r>
                </w:p>
              </w:tc>
              <w:tc>
                <w:tcPr>
                  <w:tcW w:w="346" w:type="pct"/>
                  <w:tcBorders>
                    <w:tl2br w:val="nil"/>
                    <w:tr2bl w:val="nil"/>
                  </w:tcBorders>
                  <w:vAlign w:val="center"/>
                </w:tcPr>
                <w:p w14:paraId="1E337B0B">
                  <w:pPr>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46.0</w:t>
                  </w:r>
                </w:p>
              </w:tc>
              <w:tc>
                <w:tcPr>
                  <w:tcW w:w="434" w:type="pct"/>
                  <w:vMerge w:val="restart"/>
                  <w:tcBorders>
                    <w:tl2br w:val="nil"/>
                    <w:tr2bl w:val="nil"/>
                  </w:tcBorders>
                  <w:vAlign w:val="center"/>
                </w:tcPr>
                <w:p w14:paraId="1E94B2B4">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89</w:t>
                  </w:r>
                </w:p>
              </w:tc>
              <w:tc>
                <w:tcPr>
                  <w:tcW w:w="435" w:type="pct"/>
                  <w:vMerge w:val="restart"/>
                  <w:tcBorders>
                    <w:tl2br w:val="nil"/>
                    <w:tr2bl w:val="nil"/>
                  </w:tcBorders>
                  <w:vAlign w:val="center"/>
                </w:tcPr>
                <w:p w14:paraId="48528CE0">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500</w:t>
                  </w:r>
                </w:p>
              </w:tc>
            </w:tr>
            <w:tr w14:paraId="39B8D0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194" w:type="pct"/>
                  <w:tcBorders>
                    <w:tl2br w:val="nil"/>
                    <w:tr2bl w:val="nil"/>
                  </w:tcBorders>
                  <w:vAlign w:val="center"/>
                </w:tcPr>
                <w:p w14:paraId="6DB04A9B">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891" w:type="pct"/>
                  <w:tcBorders>
                    <w:tl2br w:val="nil"/>
                    <w:tr2bl w:val="nil"/>
                  </w:tcBorders>
                  <w:vAlign w:val="center"/>
                </w:tcPr>
                <w:p w14:paraId="7136E8EC">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装载机</w:t>
                  </w:r>
                </w:p>
              </w:tc>
              <w:tc>
                <w:tcPr>
                  <w:tcW w:w="337" w:type="pct"/>
                  <w:tcBorders>
                    <w:tl2br w:val="nil"/>
                    <w:tr2bl w:val="nil"/>
                  </w:tcBorders>
                  <w:vAlign w:val="center"/>
                </w:tcPr>
                <w:p w14:paraId="5FBF4CD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86</w:t>
                  </w:r>
                </w:p>
              </w:tc>
              <w:tc>
                <w:tcPr>
                  <w:tcW w:w="337" w:type="pct"/>
                  <w:tcBorders>
                    <w:tl2br w:val="nil"/>
                    <w:tr2bl w:val="nil"/>
                  </w:tcBorders>
                  <w:vAlign w:val="center"/>
                </w:tcPr>
                <w:p w14:paraId="5D9B4EDF">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80</w:t>
                  </w:r>
                </w:p>
              </w:tc>
              <w:tc>
                <w:tcPr>
                  <w:tcW w:w="337" w:type="pct"/>
                  <w:tcBorders>
                    <w:tl2br w:val="nil"/>
                    <w:tr2bl w:val="nil"/>
                  </w:tcBorders>
                  <w:vAlign w:val="center"/>
                </w:tcPr>
                <w:p w14:paraId="26DABE3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74</w:t>
                  </w:r>
                </w:p>
              </w:tc>
              <w:tc>
                <w:tcPr>
                  <w:tcW w:w="337" w:type="pct"/>
                  <w:tcBorders>
                    <w:tl2br w:val="nil"/>
                    <w:tr2bl w:val="nil"/>
                  </w:tcBorders>
                  <w:vAlign w:val="center"/>
                </w:tcPr>
                <w:p w14:paraId="76015B7A">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68</w:t>
                  </w:r>
                </w:p>
              </w:tc>
              <w:tc>
                <w:tcPr>
                  <w:tcW w:w="337" w:type="pct"/>
                  <w:tcBorders>
                    <w:tl2br w:val="nil"/>
                    <w:tr2bl w:val="nil"/>
                  </w:tcBorders>
                  <w:vAlign w:val="center"/>
                </w:tcPr>
                <w:p w14:paraId="044D94D5">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62</w:t>
                  </w:r>
                </w:p>
              </w:tc>
              <w:tc>
                <w:tcPr>
                  <w:tcW w:w="337" w:type="pct"/>
                  <w:tcBorders>
                    <w:tl2br w:val="nil"/>
                    <w:tr2bl w:val="nil"/>
                  </w:tcBorders>
                  <w:vAlign w:val="center"/>
                </w:tcPr>
                <w:p w14:paraId="5AAD68BF">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56</w:t>
                  </w:r>
                </w:p>
              </w:tc>
              <w:tc>
                <w:tcPr>
                  <w:tcW w:w="337" w:type="pct"/>
                  <w:tcBorders>
                    <w:tl2br w:val="nil"/>
                    <w:tr2bl w:val="nil"/>
                  </w:tcBorders>
                  <w:vAlign w:val="center"/>
                </w:tcPr>
                <w:p w14:paraId="7A4BE57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54</w:t>
                  </w:r>
                </w:p>
              </w:tc>
              <w:tc>
                <w:tcPr>
                  <w:tcW w:w="337" w:type="pct"/>
                  <w:tcBorders>
                    <w:tl2br w:val="nil"/>
                    <w:tr2bl w:val="nil"/>
                  </w:tcBorders>
                  <w:vAlign w:val="center"/>
                </w:tcPr>
                <w:p w14:paraId="1FB6C07F">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48</w:t>
                  </w:r>
                </w:p>
              </w:tc>
              <w:tc>
                <w:tcPr>
                  <w:tcW w:w="346" w:type="pct"/>
                  <w:tcBorders>
                    <w:tl2br w:val="nil"/>
                    <w:tr2bl w:val="nil"/>
                  </w:tcBorders>
                  <w:vAlign w:val="center"/>
                </w:tcPr>
                <w:p w14:paraId="3A3C60A2">
                  <w:pPr>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46.0</w:t>
                  </w:r>
                </w:p>
              </w:tc>
              <w:tc>
                <w:tcPr>
                  <w:tcW w:w="434" w:type="pct"/>
                  <w:vMerge w:val="continue"/>
                  <w:tcBorders>
                    <w:tl2br w:val="nil"/>
                    <w:tr2bl w:val="nil"/>
                  </w:tcBorders>
                  <w:vAlign w:val="center"/>
                </w:tcPr>
                <w:p w14:paraId="2DEBEC83">
                  <w:pPr>
                    <w:snapToGrid w:val="0"/>
                    <w:jc w:val="center"/>
                    <w:rPr>
                      <w:rFonts w:hint="default" w:ascii="Times New Roman" w:hAnsi="Times New Roman" w:cs="Times New Roman"/>
                      <w:color w:val="auto"/>
                      <w:sz w:val="21"/>
                      <w:szCs w:val="21"/>
                    </w:rPr>
                  </w:pPr>
                </w:p>
              </w:tc>
              <w:tc>
                <w:tcPr>
                  <w:tcW w:w="435" w:type="pct"/>
                  <w:vMerge w:val="continue"/>
                  <w:tcBorders>
                    <w:tl2br w:val="nil"/>
                    <w:tr2bl w:val="nil"/>
                  </w:tcBorders>
                  <w:vAlign w:val="center"/>
                </w:tcPr>
                <w:p w14:paraId="0D9B136A">
                  <w:pPr>
                    <w:snapToGrid w:val="0"/>
                    <w:jc w:val="center"/>
                    <w:rPr>
                      <w:rFonts w:hint="default" w:ascii="Times New Roman" w:hAnsi="Times New Roman" w:cs="Times New Roman"/>
                      <w:color w:val="auto"/>
                      <w:sz w:val="21"/>
                      <w:szCs w:val="21"/>
                    </w:rPr>
                  </w:pPr>
                </w:p>
              </w:tc>
            </w:tr>
            <w:tr w14:paraId="32F98D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194" w:type="pct"/>
                  <w:tcBorders>
                    <w:tl2br w:val="nil"/>
                    <w:tr2bl w:val="nil"/>
                  </w:tcBorders>
                  <w:vAlign w:val="center"/>
                </w:tcPr>
                <w:p w14:paraId="196D5CF9">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w:t>
                  </w:r>
                </w:p>
              </w:tc>
              <w:tc>
                <w:tcPr>
                  <w:tcW w:w="891" w:type="pct"/>
                  <w:tcBorders>
                    <w:tl2br w:val="nil"/>
                    <w:tr2bl w:val="nil"/>
                  </w:tcBorders>
                  <w:vAlign w:val="center"/>
                </w:tcPr>
                <w:p w14:paraId="1E4F99EE">
                  <w:pPr>
                    <w:snapToGrid w:val="0"/>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夯土机</w:t>
                  </w:r>
                </w:p>
              </w:tc>
              <w:tc>
                <w:tcPr>
                  <w:tcW w:w="337" w:type="pct"/>
                  <w:tcBorders>
                    <w:tl2br w:val="nil"/>
                    <w:tr2bl w:val="nil"/>
                  </w:tcBorders>
                  <w:vAlign w:val="center"/>
                </w:tcPr>
                <w:p w14:paraId="7B232F4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84</w:t>
                  </w:r>
                </w:p>
              </w:tc>
              <w:tc>
                <w:tcPr>
                  <w:tcW w:w="337" w:type="pct"/>
                  <w:tcBorders>
                    <w:tl2br w:val="nil"/>
                    <w:tr2bl w:val="nil"/>
                  </w:tcBorders>
                  <w:vAlign w:val="center"/>
                </w:tcPr>
                <w:p w14:paraId="62D5DBE1">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78</w:t>
                  </w:r>
                </w:p>
              </w:tc>
              <w:tc>
                <w:tcPr>
                  <w:tcW w:w="337" w:type="pct"/>
                  <w:tcBorders>
                    <w:tl2br w:val="nil"/>
                    <w:tr2bl w:val="nil"/>
                  </w:tcBorders>
                  <w:vAlign w:val="center"/>
                </w:tcPr>
                <w:p w14:paraId="42187092">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72</w:t>
                  </w:r>
                </w:p>
              </w:tc>
              <w:tc>
                <w:tcPr>
                  <w:tcW w:w="337" w:type="pct"/>
                  <w:tcBorders>
                    <w:tl2br w:val="nil"/>
                    <w:tr2bl w:val="nil"/>
                  </w:tcBorders>
                  <w:vAlign w:val="center"/>
                </w:tcPr>
                <w:p w14:paraId="1F1937CA">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66</w:t>
                  </w:r>
                </w:p>
              </w:tc>
              <w:tc>
                <w:tcPr>
                  <w:tcW w:w="337" w:type="pct"/>
                  <w:tcBorders>
                    <w:tl2br w:val="nil"/>
                    <w:tr2bl w:val="nil"/>
                  </w:tcBorders>
                  <w:vAlign w:val="center"/>
                </w:tcPr>
                <w:p w14:paraId="6846B3BE">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60</w:t>
                  </w:r>
                </w:p>
              </w:tc>
              <w:tc>
                <w:tcPr>
                  <w:tcW w:w="337" w:type="pct"/>
                  <w:tcBorders>
                    <w:tl2br w:val="nil"/>
                    <w:tr2bl w:val="nil"/>
                  </w:tcBorders>
                  <w:vAlign w:val="center"/>
                </w:tcPr>
                <w:p w14:paraId="3B60AE46">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54</w:t>
                  </w:r>
                </w:p>
              </w:tc>
              <w:tc>
                <w:tcPr>
                  <w:tcW w:w="337" w:type="pct"/>
                  <w:tcBorders>
                    <w:tl2br w:val="nil"/>
                    <w:tr2bl w:val="nil"/>
                  </w:tcBorders>
                  <w:vAlign w:val="center"/>
                </w:tcPr>
                <w:p w14:paraId="42C1C453">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52</w:t>
                  </w:r>
                </w:p>
              </w:tc>
              <w:tc>
                <w:tcPr>
                  <w:tcW w:w="337" w:type="pct"/>
                  <w:tcBorders>
                    <w:tl2br w:val="nil"/>
                    <w:tr2bl w:val="nil"/>
                  </w:tcBorders>
                  <w:vAlign w:val="center"/>
                </w:tcPr>
                <w:p w14:paraId="13686761">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46</w:t>
                  </w:r>
                </w:p>
              </w:tc>
              <w:tc>
                <w:tcPr>
                  <w:tcW w:w="346" w:type="pct"/>
                  <w:tcBorders>
                    <w:tl2br w:val="nil"/>
                    <w:tr2bl w:val="nil"/>
                  </w:tcBorders>
                  <w:vAlign w:val="center"/>
                </w:tcPr>
                <w:p w14:paraId="50FD7C31">
                  <w:pPr>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44.0</w:t>
                  </w:r>
                </w:p>
              </w:tc>
              <w:tc>
                <w:tcPr>
                  <w:tcW w:w="434" w:type="pct"/>
                  <w:vMerge w:val="continue"/>
                  <w:tcBorders>
                    <w:tl2br w:val="nil"/>
                    <w:tr2bl w:val="nil"/>
                  </w:tcBorders>
                  <w:vAlign w:val="center"/>
                </w:tcPr>
                <w:p w14:paraId="426E5A4E">
                  <w:pPr>
                    <w:snapToGrid w:val="0"/>
                    <w:jc w:val="center"/>
                    <w:rPr>
                      <w:rFonts w:hint="default" w:ascii="Times New Roman" w:hAnsi="Times New Roman" w:cs="Times New Roman"/>
                      <w:color w:val="auto"/>
                      <w:sz w:val="21"/>
                      <w:szCs w:val="21"/>
                    </w:rPr>
                  </w:pPr>
                </w:p>
              </w:tc>
              <w:tc>
                <w:tcPr>
                  <w:tcW w:w="435" w:type="pct"/>
                  <w:vMerge w:val="continue"/>
                  <w:tcBorders>
                    <w:tl2br w:val="nil"/>
                    <w:tr2bl w:val="nil"/>
                  </w:tcBorders>
                  <w:vAlign w:val="center"/>
                </w:tcPr>
                <w:p w14:paraId="050BD2D1">
                  <w:pPr>
                    <w:snapToGrid w:val="0"/>
                    <w:jc w:val="center"/>
                    <w:rPr>
                      <w:rFonts w:hint="default" w:ascii="Times New Roman" w:hAnsi="Times New Roman" w:cs="Times New Roman"/>
                      <w:color w:val="auto"/>
                      <w:sz w:val="21"/>
                      <w:szCs w:val="21"/>
                    </w:rPr>
                  </w:pPr>
                </w:p>
              </w:tc>
            </w:tr>
            <w:tr w14:paraId="749CC2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194" w:type="pct"/>
                  <w:tcBorders>
                    <w:tl2br w:val="nil"/>
                    <w:tr2bl w:val="nil"/>
                  </w:tcBorders>
                  <w:vAlign w:val="center"/>
                </w:tcPr>
                <w:p w14:paraId="1341B54D">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w:t>
                  </w:r>
                </w:p>
              </w:tc>
              <w:tc>
                <w:tcPr>
                  <w:tcW w:w="891" w:type="pct"/>
                  <w:tcBorders>
                    <w:tl2br w:val="nil"/>
                    <w:tr2bl w:val="nil"/>
                  </w:tcBorders>
                  <w:vAlign w:val="center"/>
                </w:tcPr>
                <w:p w14:paraId="176532E3">
                  <w:pPr>
                    <w:snapToGrid w:val="0"/>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推土机</w:t>
                  </w:r>
                </w:p>
              </w:tc>
              <w:tc>
                <w:tcPr>
                  <w:tcW w:w="337" w:type="pct"/>
                  <w:tcBorders>
                    <w:tl2br w:val="nil"/>
                    <w:tr2bl w:val="nil"/>
                  </w:tcBorders>
                  <w:vAlign w:val="center"/>
                </w:tcPr>
                <w:p w14:paraId="32738AD0">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88</w:t>
                  </w:r>
                </w:p>
              </w:tc>
              <w:tc>
                <w:tcPr>
                  <w:tcW w:w="337" w:type="pct"/>
                  <w:tcBorders>
                    <w:tl2br w:val="nil"/>
                    <w:tr2bl w:val="nil"/>
                  </w:tcBorders>
                  <w:vAlign w:val="center"/>
                </w:tcPr>
                <w:p w14:paraId="0AB4BCAE">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82</w:t>
                  </w:r>
                </w:p>
              </w:tc>
              <w:tc>
                <w:tcPr>
                  <w:tcW w:w="337" w:type="pct"/>
                  <w:tcBorders>
                    <w:tl2br w:val="nil"/>
                    <w:tr2bl w:val="nil"/>
                  </w:tcBorders>
                  <w:vAlign w:val="center"/>
                </w:tcPr>
                <w:p w14:paraId="453EDB02">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76</w:t>
                  </w:r>
                </w:p>
              </w:tc>
              <w:tc>
                <w:tcPr>
                  <w:tcW w:w="337" w:type="pct"/>
                  <w:tcBorders>
                    <w:tl2br w:val="nil"/>
                    <w:tr2bl w:val="nil"/>
                  </w:tcBorders>
                  <w:vAlign w:val="center"/>
                </w:tcPr>
                <w:p w14:paraId="1A60C54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70</w:t>
                  </w:r>
                </w:p>
              </w:tc>
              <w:tc>
                <w:tcPr>
                  <w:tcW w:w="337" w:type="pct"/>
                  <w:tcBorders>
                    <w:tl2br w:val="nil"/>
                    <w:tr2bl w:val="nil"/>
                  </w:tcBorders>
                  <w:vAlign w:val="center"/>
                </w:tcPr>
                <w:p w14:paraId="773B0918">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64</w:t>
                  </w:r>
                </w:p>
              </w:tc>
              <w:tc>
                <w:tcPr>
                  <w:tcW w:w="337" w:type="pct"/>
                  <w:tcBorders>
                    <w:tl2br w:val="nil"/>
                    <w:tr2bl w:val="nil"/>
                  </w:tcBorders>
                  <w:vAlign w:val="center"/>
                </w:tcPr>
                <w:p w14:paraId="5E4AEA9F">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58</w:t>
                  </w:r>
                </w:p>
              </w:tc>
              <w:tc>
                <w:tcPr>
                  <w:tcW w:w="337" w:type="pct"/>
                  <w:tcBorders>
                    <w:tl2br w:val="nil"/>
                    <w:tr2bl w:val="nil"/>
                  </w:tcBorders>
                  <w:vAlign w:val="center"/>
                </w:tcPr>
                <w:p w14:paraId="7DBE26DC">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56</w:t>
                  </w:r>
                </w:p>
              </w:tc>
              <w:tc>
                <w:tcPr>
                  <w:tcW w:w="337" w:type="pct"/>
                  <w:tcBorders>
                    <w:tl2br w:val="nil"/>
                    <w:tr2bl w:val="nil"/>
                  </w:tcBorders>
                  <w:vAlign w:val="center"/>
                </w:tcPr>
                <w:p w14:paraId="48375CBB">
                  <w:pPr>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50</w:t>
                  </w:r>
                </w:p>
              </w:tc>
              <w:tc>
                <w:tcPr>
                  <w:tcW w:w="346" w:type="pct"/>
                  <w:tcBorders>
                    <w:tl2br w:val="nil"/>
                    <w:tr2bl w:val="nil"/>
                  </w:tcBorders>
                  <w:vAlign w:val="center"/>
                </w:tcPr>
                <w:p w14:paraId="059EE3ED">
                  <w:pPr>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48.0</w:t>
                  </w:r>
                </w:p>
              </w:tc>
              <w:tc>
                <w:tcPr>
                  <w:tcW w:w="434" w:type="pct"/>
                  <w:vMerge w:val="continue"/>
                  <w:tcBorders>
                    <w:tl2br w:val="nil"/>
                    <w:tr2bl w:val="nil"/>
                  </w:tcBorders>
                  <w:vAlign w:val="center"/>
                </w:tcPr>
                <w:p w14:paraId="15532DCC">
                  <w:pPr>
                    <w:snapToGrid w:val="0"/>
                    <w:jc w:val="center"/>
                    <w:rPr>
                      <w:rFonts w:hint="default" w:ascii="Times New Roman" w:hAnsi="Times New Roman" w:cs="Times New Roman"/>
                      <w:color w:val="auto"/>
                      <w:sz w:val="21"/>
                      <w:szCs w:val="21"/>
                    </w:rPr>
                  </w:pPr>
                </w:p>
              </w:tc>
              <w:tc>
                <w:tcPr>
                  <w:tcW w:w="435" w:type="pct"/>
                  <w:vMerge w:val="continue"/>
                  <w:tcBorders>
                    <w:tl2br w:val="nil"/>
                    <w:tr2bl w:val="nil"/>
                  </w:tcBorders>
                  <w:vAlign w:val="center"/>
                </w:tcPr>
                <w:p w14:paraId="02191A16">
                  <w:pPr>
                    <w:snapToGrid w:val="0"/>
                    <w:jc w:val="center"/>
                    <w:rPr>
                      <w:rFonts w:hint="default" w:ascii="Times New Roman" w:hAnsi="Times New Roman" w:cs="Times New Roman"/>
                      <w:color w:val="auto"/>
                      <w:sz w:val="21"/>
                      <w:szCs w:val="21"/>
                    </w:rPr>
                  </w:pPr>
                </w:p>
              </w:tc>
            </w:tr>
          </w:tbl>
          <w:p w14:paraId="2B8142B7">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根据《建筑施工场界环境噪声排放标准》（GB12523-2011），对表4-</w:t>
            </w:r>
            <w:r>
              <w:rPr>
                <w:rFonts w:hint="eastAsia" w:ascii="Times New Roman" w:hAnsi="Times New Roman" w:eastAsia="宋体" w:cs="Times New Roman"/>
                <w:color w:val="auto"/>
                <w:sz w:val="24"/>
                <w:lang w:val="en-US" w:eastAsia="zh-CN"/>
              </w:rPr>
              <w:t>2</w:t>
            </w:r>
            <w:r>
              <w:rPr>
                <w:rFonts w:hint="eastAsia" w:ascii="Times New Roman" w:hAnsi="Times New Roman" w:eastAsia="宋体" w:cs="Times New Roman"/>
                <w:color w:val="auto"/>
                <w:sz w:val="24"/>
              </w:rPr>
              <w:t>分析可知，施工机械噪声在不考虑障碍物、植被及空气等引起噪声衰减的情况下，如果使用单台设备，经距离衰减，施工场界最大达标距离昼间为89m，夜间为500m，故施工过程将会对周围声环境产生一定影响。</w:t>
            </w:r>
          </w:p>
          <w:p w14:paraId="39218A66">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以上预测结果未考虑任何降噪措施、障碍物、植被及空气引起的噪声衰减，且根据现场踏勘，矿区周边500范围内无居民区、学校等声环境敏感点。本评价要求项目施工期间应采取有效的噪声防治措施，加强管理，确保施工场界噪声排放及声环境质量达标，具体内容如下：</w:t>
            </w:r>
          </w:p>
          <w:p w14:paraId="5F62BFA0">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①合理布局施工现场，对固定产噪设备应集中布置，尽量采取入棚操作。</w:t>
            </w:r>
          </w:p>
          <w:p w14:paraId="6234B488">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②应选用低噪声、低振动的施工机械设备；避免多台高噪声的机械设备在同一场地和同一时间使用。施工过程中还应经常对设备进行维修保养，避免由于设备性能差</w:t>
            </w:r>
            <w:r>
              <w:rPr>
                <w:rFonts w:hint="eastAsia" w:ascii="Times New Roman" w:hAnsi="Times New Roman" w:eastAsia="宋体" w:cs="Times New Roman"/>
                <w:color w:val="auto"/>
                <w:sz w:val="24"/>
                <w:lang w:eastAsia="zh-CN"/>
              </w:rPr>
              <w:t>导致</w:t>
            </w:r>
            <w:r>
              <w:rPr>
                <w:rFonts w:hint="eastAsia" w:ascii="Times New Roman" w:hAnsi="Times New Roman" w:eastAsia="宋体" w:cs="Times New Roman"/>
                <w:color w:val="auto"/>
                <w:sz w:val="24"/>
              </w:rPr>
              <w:t>噪声增强现象的发生。</w:t>
            </w:r>
          </w:p>
          <w:p w14:paraId="38F51926">
            <w:pPr>
              <w:spacing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③运输车辆在穿过村庄时控制车速、禁鸣，加强车辆维护，来减轻噪声对周围声环境的影响。</w:t>
            </w:r>
          </w:p>
        </w:tc>
      </w:tr>
      <w:tr w14:paraId="3B4EC2C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525" w:type="dxa"/>
            <w:tcMar>
              <w:left w:w="28" w:type="dxa"/>
              <w:right w:w="28" w:type="dxa"/>
            </w:tcMar>
            <w:vAlign w:val="center"/>
          </w:tcPr>
          <w:p w14:paraId="5CF8D3E0">
            <w:pPr>
              <w:pStyle w:val="15"/>
              <w:snapToGrid w:val="0"/>
              <w:jc w:val="center"/>
              <w:rPr>
                <w:rFonts w:ascii="Times New Roman" w:hAnsi="Times New Roman" w:eastAsia="Times New Roman"/>
                <w:color w:val="auto"/>
                <w:sz w:val="21"/>
                <w:szCs w:val="21"/>
              </w:rPr>
            </w:pPr>
            <w:r>
              <w:rPr>
                <w:rFonts w:ascii="Times New Roman" w:hAnsi="Times New Roman" w:eastAsia="Times New Roman"/>
                <w:color w:val="auto"/>
                <w:spacing w:val="10"/>
              </w:rPr>
              <w:t>运营期生态环境影响分析</w:t>
            </w:r>
          </w:p>
        </w:tc>
        <w:tc>
          <w:tcPr>
            <w:tcW w:w="8352" w:type="dxa"/>
          </w:tcPr>
          <w:p w14:paraId="017C1EA3">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一废气</w:t>
            </w:r>
          </w:p>
          <w:p w14:paraId="0E8E2E1F">
            <w:pPr>
              <w:spacing w:line="360" w:lineRule="auto"/>
              <w:ind w:firstLine="480" w:firstLineChars="200"/>
              <w:rPr>
                <w:rFonts w:hint="default" w:eastAsia="宋体" w:cs="Times New Roman"/>
                <w:color w:val="auto"/>
                <w:sz w:val="24"/>
                <w:lang w:val="en-US" w:eastAsia="zh-CN"/>
              </w:rPr>
            </w:pPr>
            <w:r>
              <w:rPr>
                <w:rFonts w:hint="eastAsia" w:eastAsia="宋体" w:cs="Times New Roman"/>
                <w:color w:val="auto"/>
                <w:sz w:val="24"/>
                <w:lang w:val="en-US" w:eastAsia="zh-CN"/>
              </w:rPr>
              <w:t>本项目运营期间不产生废气。</w:t>
            </w:r>
          </w:p>
          <w:p w14:paraId="57F9A164">
            <w:pPr>
              <w:spacing w:line="360" w:lineRule="auto"/>
              <w:ind w:firstLine="480" w:firstLineChars="200"/>
              <w:rPr>
                <w:rFonts w:hint="default" w:eastAsia="宋体"/>
                <w:color w:val="auto"/>
                <w:sz w:val="24"/>
                <w:lang w:val="en-US" w:eastAsia="zh-CN"/>
              </w:rPr>
            </w:pPr>
            <w:r>
              <w:rPr>
                <w:rFonts w:hint="eastAsia" w:eastAsia="宋体"/>
                <w:color w:val="auto"/>
                <w:sz w:val="24"/>
                <w:lang w:val="en-US" w:eastAsia="zh-CN"/>
              </w:rPr>
              <w:t>二、废水</w:t>
            </w:r>
          </w:p>
          <w:p w14:paraId="75694806">
            <w:pPr>
              <w:spacing w:line="360" w:lineRule="auto"/>
              <w:ind w:firstLine="480" w:firstLineChars="200"/>
              <w:rPr>
                <w:rFonts w:hint="eastAsia" w:eastAsia="Times New Roman" w:cs="Times New Roman"/>
                <w:b w:val="0"/>
                <w:bCs w:val="0"/>
                <w:color w:val="auto"/>
                <w:sz w:val="24"/>
                <w:szCs w:val="24"/>
                <w:lang w:val="en-US" w:eastAsia="zh-CN"/>
              </w:rPr>
            </w:pPr>
            <w:r>
              <w:rPr>
                <w:rFonts w:hint="eastAsia" w:eastAsia="宋体"/>
                <w:color w:val="auto"/>
                <w:sz w:val="24"/>
                <w:lang w:val="en-US" w:eastAsia="zh-CN"/>
              </w:rPr>
              <w:t>本项目运营期产生的废水为生活污水，</w:t>
            </w:r>
            <w:r>
              <w:rPr>
                <w:rFonts w:hint="eastAsia" w:eastAsia="Times New Roman" w:cs="Times New Roman"/>
                <w:b w:val="0"/>
                <w:bCs w:val="0"/>
                <w:color w:val="auto"/>
                <w:sz w:val="24"/>
                <w:szCs w:val="24"/>
                <w:lang w:val="en-US" w:eastAsia="zh-CN"/>
              </w:rPr>
              <w:t>本次新增劳动定员75人，根据《内蒙古自治区行业用水定额》（DB15/T 385—2020），生活用水按每人每天60L计，生活用水量为4.5m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/d</w:t>
            </w:r>
            <w:r>
              <w:rPr>
                <w:rFonts w:hint="eastAsia" w:eastAsia="宋体" w:cs="Times New Roman"/>
                <w:b w:val="0"/>
                <w:bCs w:val="0"/>
                <w:color w:val="auto"/>
                <w:sz w:val="24"/>
                <w:szCs w:val="24"/>
                <w:lang w:val="en-US" w:eastAsia="zh-CN"/>
              </w:rPr>
              <w:t>，</w:t>
            </w:r>
            <w:r>
              <w:rPr>
                <w:rFonts w:hint="eastAsia" w:eastAsia="Times New Roman" w:cs="Times New Roman"/>
                <w:b w:val="0"/>
                <w:bCs w:val="0"/>
                <w:color w:val="auto"/>
                <w:sz w:val="24"/>
                <w:szCs w:val="24"/>
                <w:lang w:val="en-US" w:eastAsia="zh-CN"/>
              </w:rPr>
              <w:t>1642.5m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/a。生活用水依托场内现有</w:t>
            </w:r>
            <w:r>
              <w:rPr>
                <w:rFonts w:hint="eastAsia" w:eastAsia="Times New Roman" w:cs="Times New Roman"/>
                <w:b w:val="0"/>
                <w:bCs w:val="0"/>
                <w:color w:val="auto"/>
                <w:sz w:val="24"/>
                <w:szCs w:val="24"/>
                <w:lang w:val="zh-CN" w:eastAsia="zh-CN"/>
              </w:rPr>
              <w:t>地下水供水系统提供</w:t>
            </w:r>
            <w:r>
              <w:rPr>
                <w:rFonts w:hint="eastAsia" w:eastAsia="Times New Roman" w:cs="Times New Roman"/>
                <w:b w:val="0"/>
                <w:bCs w:val="0"/>
                <w:color w:val="auto"/>
                <w:sz w:val="24"/>
                <w:szCs w:val="24"/>
                <w:lang w:val="en-US" w:eastAsia="zh-CN"/>
              </w:rPr>
              <w:t>。</w:t>
            </w:r>
          </w:p>
          <w:p w14:paraId="67AB336A">
            <w:pPr>
              <w:spacing w:line="360" w:lineRule="auto"/>
              <w:ind w:firstLine="480" w:firstLineChars="200"/>
              <w:rPr>
                <w:rFonts w:hint="default" w:eastAsia="Times New Roman" w:cs="Times New Roman"/>
                <w:b w:val="0"/>
                <w:bCs w:val="0"/>
                <w:color w:val="auto"/>
                <w:sz w:val="24"/>
                <w:szCs w:val="24"/>
                <w:lang w:val="en-US" w:eastAsia="zh-CN"/>
              </w:rPr>
            </w:pPr>
            <w:r>
              <w:rPr>
                <w:rFonts w:hint="eastAsia" w:ascii="Times New Roman" w:hAnsi="Times New Roman" w:eastAsia="Times New Roman" w:cs="Times New Roman"/>
                <w:b w:val="0"/>
                <w:bCs w:val="0"/>
                <w:color w:val="auto"/>
                <w:sz w:val="24"/>
                <w:szCs w:val="24"/>
                <w:lang w:val="en-US" w:eastAsia="zh-CN"/>
              </w:rPr>
              <w:t>生活污水产生量按用水量的80%计算，则生活污水产生量为</w:t>
            </w:r>
            <w:r>
              <w:rPr>
                <w:rFonts w:hint="eastAsia" w:eastAsia="Times New Roman" w:cs="Times New Roman"/>
                <w:b w:val="0"/>
                <w:bCs w:val="0"/>
                <w:color w:val="auto"/>
                <w:sz w:val="24"/>
                <w:szCs w:val="24"/>
                <w:lang w:val="en-US" w:eastAsia="zh-CN"/>
              </w:rPr>
              <w:t>3.6</w:t>
            </w:r>
            <w:r>
              <w:rPr>
                <w:rFonts w:hint="eastAsia" w:ascii="Times New Roman" w:hAnsi="Times New Roman" w:eastAsia="Times New Roman" w:cs="Times New Roman"/>
                <w:b w:val="0"/>
                <w:bCs w:val="0"/>
                <w:color w:val="auto"/>
                <w:sz w:val="24"/>
                <w:szCs w:val="24"/>
                <w:lang w:val="en-US" w:eastAsia="zh-CN"/>
              </w:rPr>
              <w:t>m</w:t>
            </w:r>
            <w:r>
              <w:rPr>
                <w:rFonts w:hint="eastAsia" w:ascii="Times New Roman" w:hAnsi="Times New Roman" w:eastAsia="Times New Roman" w:cs="Times New Roman"/>
                <w:b w:val="0"/>
                <w:bCs w:val="0"/>
                <w:color w:val="auto"/>
                <w:sz w:val="24"/>
                <w:szCs w:val="24"/>
                <w:vertAlign w:val="superscript"/>
                <w:lang w:val="en-US" w:eastAsia="zh-CN"/>
              </w:rPr>
              <w:t>3</w:t>
            </w:r>
            <w:r>
              <w:rPr>
                <w:rFonts w:hint="eastAsia" w:ascii="Times New Roman" w:hAnsi="Times New Roman" w:eastAsia="Times New Roman" w:cs="Times New Roman"/>
                <w:b w:val="0"/>
                <w:bCs w:val="0"/>
                <w:color w:val="auto"/>
                <w:sz w:val="24"/>
                <w:szCs w:val="24"/>
                <w:lang w:val="en-US" w:eastAsia="zh-CN"/>
              </w:rPr>
              <w:t>/d，</w:t>
            </w:r>
            <w:r>
              <w:rPr>
                <w:rFonts w:hint="eastAsia" w:eastAsia="Times New Roman" w:cs="Times New Roman"/>
                <w:b w:val="0"/>
                <w:bCs w:val="0"/>
                <w:color w:val="auto"/>
                <w:sz w:val="24"/>
                <w:szCs w:val="24"/>
                <w:lang w:val="en-US" w:eastAsia="zh-CN"/>
              </w:rPr>
              <w:t>1314m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/a。</w:t>
            </w:r>
            <w:r>
              <w:rPr>
                <w:rFonts w:hint="eastAsia" w:ascii="Times New Roman" w:hAnsi="Times New Roman" w:eastAsia="Times New Roman" w:cs="Times New Roman"/>
                <w:b w:val="0"/>
                <w:bCs w:val="0"/>
                <w:color w:val="auto"/>
                <w:sz w:val="24"/>
                <w:szCs w:val="24"/>
                <w:lang w:val="en-US" w:eastAsia="zh-CN"/>
              </w:rPr>
              <w:t>生活</w:t>
            </w:r>
            <w:r>
              <w:rPr>
                <w:rFonts w:hint="eastAsia" w:eastAsia="Times New Roman" w:cs="Times New Roman"/>
                <w:b w:val="0"/>
                <w:bCs w:val="0"/>
                <w:color w:val="auto"/>
                <w:sz w:val="24"/>
                <w:szCs w:val="24"/>
                <w:lang w:val="en-US" w:eastAsia="zh-CN"/>
              </w:rPr>
              <w:t>污水依托现有一体化处理设备进行二级处理，回用于鄂温克电厂用水。</w:t>
            </w:r>
            <w:r>
              <w:rPr>
                <w:rFonts w:hint="eastAsia" w:eastAsia="Times New Roman" w:cs="Times New Roman"/>
                <w:b w:val="0"/>
                <w:bCs w:val="0"/>
                <w:color w:val="auto"/>
                <w:sz w:val="24"/>
                <w:szCs w:val="24"/>
                <w:lang w:val="zh-CN" w:eastAsia="zh-CN"/>
              </w:rPr>
              <w:t>敏东一矿生活污水处理采用一体化污水处理设备处理，处理规模1000m</w:t>
            </w:r>
            <w:r>
              <w:rPr>
                <w:rFonts w:hint="eastAsia" w:eastAsia="Times New Roman" w:cs="Times New Roman"/>
                <w:b w:val="0"/>
                <w:bCs w:val="0"/>
                <w:color w:val="auto"/>
                <w:sz w:val="24"/>
                <w:szCs w:val="24"/>
                <w:vertAlign w:val="superscript"/>
                <w:lang w:val="zh-CN" w:eastAsia="zh-CN"/>
              </w:rPr>
              <w:t>3</w:t>
            </w:r>
            <w:r>
              <w:rPr>
                <w:rFonts w:hint="eastAsia" w:eastAsia="Times New Roman" w:cs="Times New Roman"/>
                <w:b w:val="0"/>
                <w:bCs w:val="0"/>
                <w:color w:val="auto"/>
                <w:sz w:val="24"/>
                <w:szCs w:val="24"/>
                <w:lang w:val="zh-CN" w:eastAsia="zh-CN"/>
              </w:rPr>
              <w:t>/d，处理工艺为：</w:t>
            </w:r>
            <w:r>
              <w:rPr>
                <w:rFonts w:hint="eastAsia" w:eastAsia="Times New Roman" w:cs="Times New Roman"/>
                <w:b w:val="0"/>
                <w:bCs w:val="0"/>
                <w:color w:val="auto"/>
                <w:sz w:val="24"/>
                <w:szCs w:val="24"/>
                <w:lang w:val="en-US" w:eastAsia="zh-CN"/>
              </w:rPr>
              <w:t>污水进水→细格栅→调节池→污水提升泵→一体化组合式生活污水处理装置（包括初沉池+水解酸化池+一级生化池+二级生化池+二沉池+消毒池+污泥池）→中间水池→过滤升压泵→全自动过滤器→出水</w:t>
            </w:r>
            <w:r>
              <w:rPr>
                <w:rFonts w:hint="eastAsia" w:eastAsia="Times New Roman" w:cs="Times New Roman"/>
                <w:b w:val="0"/>
                <w:bCs w:val="0"/>
                <w:color w:val="auto"/>
                <w:sz w:val="24"/>
                <w:szCs w:val="24"/>
                <w:lang w:val="zh-CN" w:eastAsia="zh-CN"/>
              </w:rPr>
              <w:t>。</w:t>
            </w:r>
            <w:r>
              <w:rPr>
                <w:rFonts w:hint="eastAsia" w:eastAsia="Times New Roman" w:cs="Times New Roman"/>
                <w:b w:val="0"/>
                <w:bCs w:val="0"/>
                <w:color w:val="auto"/>
                <w:sz w:val="24"/>
                <w:szCs w:val="24"/>
                <w:lang w:val="en-US" w:eastAsia="zh-CN"/>
              </w:rPr>
              <w:t>目前，敏东一矿污水处理能力尚有足够余量来处理本次新增生活污水，且污水处理工艺可行。因此，本项目运营期产生的生活污水依托现有污水处理装置处置可行，污水经处理后可满足《污水综合排放标准》GB8978—1996表4一级标准。</w:t>
            </w:r>
          </w:p>
          <w:p w14:paraId="6115CE63">
            <w:pPr>
              <w:pStyle w:val="30"/>
              <w:rPr>
                <w:rFonts w:hint="default" w:eastAsia="宋体" w:cs="Times New Roman"/>
                <w:color w:val="auto"/>
                <w:sz w:val="24"/>
                <w:lang w:val="en-US" w:eastAsia="zh-CN"/>
              </w:rPr>
            </w:pPr>
            <w:r>
              <w:rPr>
                <w:rFonts w:hint="eastAsia" w:eastAsia="宋体" w:cs="Times New Roman"/>
                <w:color w:val="auto"/>
                <w:sz w:val="24"/>
                <w:lang w:val="en-US" w:eastAsia="zh-CN"/>
              </w:rPr>
              <w:t>三、固废</w:t>
            </w:r>
          </w:p>
          <w:p w14:paraId="19A00110">
            <w:pPr>
              <w:pStyle w:val="30"/>
              <w:rPr>
                <w:rFonts w:hint="eastAsia" w:eastAsia="宋体" w:cs="Times New Roman"/>
                <w:color w:val="auto"/>
                <w:sz w:val="24"/>
                <w:lang w:val="en-US" w:eastAsia="zh-CN"/>
              </w:rPr>
            </w:pPr>
            <w:r>
              <w:rPr>
                <w:rFonts w:hint="eastAsia" w:eastAsia="宋体" w:cs="Times New Roman"/>
                <w:color w:val="auto"/>
                <w:sz w:val="24"/>
                <w:lang w:val="en-US" w:eastAsia="zh-CN"/>
              </w:rPr>
              <w:t>本次新增劳动定员75人，生活垃圾产生量按照0.5kg/人/d计算，则生活垃圾产生量为13.6875t/a。运营期产生的生活垃圾委托呼伦贝尔市石全经贸有限公司清运。</w:t>
            </w:r>
          </w:p>
          <w:p w14:paraId="0A2F3C95">
            <w:pPr>
              <w:pStyle w:val="30"/>
              <w:rPr>
                <w:rFonts w:hint="default" w:eastAsia="宋体" w:cs="Times New Roman"/>
                <w:color w:val="auto"/>
                <w:sz w:val="24"/>
                <w:lang w:val="en-US" w:eastAsia="zh-CN"/>
              </w:rPr>
            </w:pPr>
            <w:r>
              <w:rPr>
                <w:rFonts w:hint="eastAsia" w:eastAsia="宋体" w:cs="Times New Roman"/>
                <w:color w:val="auto"/>
                <w:sz w:val="24"/>
                <w:lang w:val="en-US" w:eastAsia="zh-CN"/>
              </w:rPr>
              <w:t>四、噪声</w:t>
            </w:r>
          </w:p>
          <w:p w14:paraId="3E61AD28">
            <w:pPr>
              <w:pStyle w:val="30"/>
              <w:rPr>
                <w:rFonts w:hint="eastAsia" w:eastAsia="宋体" w:cs="Times New Roman"/>
                <w:color w:val="auto"/>
                <w:sz w:val="24"/>
                <w:lang w:val="en-US" w:eastAsia="zh-CN"/>
              </w:rPr>
            </w:pPr>
            <w:r>
              <w:rPr>
                <w:rFonts w:hint="eastAsia" w:eastAsia="宋体" w:cs="Times New Roman"/>
                <w:color w:val="auto"/>
                <w:sz w:val="24"/>
                <w:lang w:val="en-US" w:eastAsia="zh-CN"/>
              </w:rPr>
              <w:t>本项目为辅助提升及运输系统无轨化改造项目，项目运营期不产生连续噪声。</w:t>
            </w:r>
          </w:p>
          <w:p w14:paraId="025760A6">
            <w:pPr>
              <w:spacing w:line="360" w:lineRule="auto"/>
              <w:ind w:firstLine="482"/>
              <w:rPr>
                <w:color w:val="auto"/>
                <w:sz w:val="24"/>
              </w:rPr>
            </w:pPr>
            <w:r>
              <w:rPr>
                <w:rFonts w:hint="eastAsia"/>
                <w:color w:val="auto"/>
                <w:sz w:val="24"/>
                <w:lang w:eastAsia="zh-CN"/>
              </w:rPr>
              <w:t>五</w:t>
            </w:r>
            <w:r>
              <w:rPr>
                <w:rFonts w:hint="eastAsia"/>
                <w:color w:val="auto"/>
                <w:sz w:val="24"/>
              </w:rPr>
              <w:t>.地下水、土壤影响及保护措施</w:t>
            </w:r>
          </w:p>
          <w:p w14:paraId="7D4783D4">
            <w:pPr>
              <w:spacing w:line="360" w:lineRule="auto"/>
              <w:ind w:firstLine="482"/>
              <w:rPr>
                <w:color w:val="auto"/>
                <w:sz w:val="24"/>
              </w:rPr>
            </w:pPr>
            <w:r>
              <w:rPr>
                <w:rFonts w:hint="eastAsia"/>
                <w:color w:val="auto"/>
                <w:sz w:val="24"/>
                <w:lang w:val="en-US" w:eastAsia="zh-CN"/>
              </w:rPr>
              <w:t>5</w:t>
            </w:r>
            <w:r>
              <w:rPr>
                <w:rFonts w:hint="eastAsia"/>
                <w:color w:val="auto"/>
                <w:sz w:val="24"/>
              </w:rPr>
              <w:t>.1 地下水、土壤环境影响及保护措施</w:t>
            </w:r>
          </w:p>
          <w:p w14:paraId="00175371">
            <w:pPr>
              <w:spacing w:line="360" w:lineRule="auto"/>
              <w:ind w:firstLine="482"/>
              <w:rPr>
                <w:color w:val="auto"/>
                <w:sz w:val="24"/>
              </w:rPr>
            </w:pPr>
            <w:bookmarkStart w:id="6" w:name="_Hlk56680221"/>
            <w:bookmarkStart w:id="7" w:name="_Hlk56670735"/>
            <w:r>
              <w:rPr>
                <w:rFonts w:hint="eastAsia"/>
                <w:color w:val="auto"/>
                <w:sz w:val="24"/>
              </w:rPr>
              <w:t>①项目应根据国家现行相关规范加强环境管理，采取防止和降低污染物跑、冒、滴、漏的措施。正常生产过程中应加强巡检及时处理污染物跑、冒、滴、漏，同时应加强对防渗工程的检查，若发现防渗密封材料老化或损坏，应及时维修更换；</w:t>
            </w:r>
          </w:p>
          <w:p w14:paraId="2210A087">
            <w:pPr>
              <w:spacing w:line="360" w:lineRule="auto"/>
              <w:ind w:firstLine="482"/>
              <w:rPr>
                <w:color w:val="auto"/>
                <w:sz w:val="24"/>
              </w:rPr>
            </w:pPr>
            <w:r>
              <w:rPr>
                <w:rFonts w:hint="eastAsia"/>
                <w:color w:val="auto"/>
                <w:sz w:val="24"/>
              </w:rPr>
              <w:t>②对项目内各构筑物采取控制措施，防止污染物的跑、冒、滴、漏，将污染物泄漏的环境风险事故降到最低限度。</w:t>
            </w:r>
          </w:p>
          <w:p w14:paraId="128D038B">
            <w:pPr>
              <w:spacing w:line="360" w:lineRule="auto"/>
              <w:ind w:firstLine="482"/>
              <w:rPr>
                <w:color w:val="auto"/>
                <w:sz w:val="24"/>
              </w:rPr>
            </w:pPr>
            <w:r>
              <w:rPr>
                <w:rFonts w:hint="eastAsia"/>
                <w:color w:val="auto"/>
                <w:sz w:val="24"/>
              </w:rPr>
              <w:t>本项目营运期在全面落实分区防渗措施的情况下，项目排放污染物或物料的垂直入渗对土壤影响较小。项目分区防渗措施具体见下表。</w:t>
            </w:r>
          </w:p>
          <w:bookmarkEnd w:id="6"/>
          <w:p w14:paraId="28A23668">
            <w:pPr>
              <w:pStyle w:val="25"/>
              <w:tabs>
                <w:tab w:val="left" w:pos="0"/>
                <w:tab w:val="left" w:pos="7012"/>
              </w:tabs>
              <w:spacing w:before="78" w:after="78"/>
              <w:ind w:firstLine="422"/>
              <w:rPr>
                <w:rFonts w:hint="eastAsia" w:ascii="Times New Roman" w:hAnsi="Times New Roman"/>
                <w:color w:val="auto"/>
              </w:rPr>
            </w:pPr>
            <w:r>
              <w:rPr>
                <w:rFonts w:hint="eastAsia" w:ascii="Times New Roman" w:hAnsi="Times New Roman"/>
                <w:color w:val="auto"/>
              </w:rPr>
              <w:t>表4-</w:t>
            </w:r>
            <w:r>
              <w:rPr>
                <w:rFonts w:hint="eastAsia" w:ascii="Times New Roman" w:hAnsi="Times New Roman"/>
                <w:color w:val="auto"/>
                <w:lang w:val="en-US" w:eastAsia="zh-CN"/>
              </w:rPr>
              <w:t xml:space="preserve">3    </w:t>
            </w:r>
            <w:r>
              <w:rPr>
                <w:rFonts w:hint="eastAsia" w:ascii="Times New Roman" w:hAnsi="Times New Roman"/>
                <w:color w:val="auto"/>
              </w:rPr>
              <w:t>项目工程防渗措施一览表</w:t>
            </w:r>
          </w:p>
          <w:tbl>
            <w:tblPr>
              <w:tblStyle w:val="19"/>
              <w:tblW w:w="8078" w:type="dxa"/>
              <w:tblInd w:w="0" w:type="dxa"/>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0" w:type="dxa"/>
                <w:bottom w:w="0" w:type="dxa"/>
                <w:right w:w="0" w:type="dxa"/>
              </w:tblCellMar>
            </w:tblPr>
            <w:tblGrid>
              <w:gridCol w:w="768"/>
              <w:gridCol w:w="1375"/>
              <w:gridCol w:w="3363"/>
              <w:gridCol w:w="2572"/>
            </w:tblGrid>
            <w:tr w14:paraId="71F6F891">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74" w:hRule="atLeast"/>
              </w:trPr>
              <w:tc>
                <w:tcPr>
                  <w:tcW w:w="768" w:type="dxa"/>
                  <w:tcMar>
                    <w:top w:w="80" w:type="dxa"/>
                    <w:left w:w="80" w:type="dxa"/>
                    <w:bottom w:w="80" w:type="dxa"/>
                    <w:right w:w="80" w:type="dxa"/>
                  </w:tcMar>
                  <w:vAlign w:val="center"/>
                </w:tcPr>
                <w:p w14:paraId="53893BA0">
                  <w:pPr>
                    <w:jc w:val="center"/>
                    <w:rPr>
                      <w:rFonts w:eastAsiaTheme="minorEastAsia"/>
                      <w:color w:val="auto"/>
                      <w:szCs w:val="21"/>
                    </w:rPr>
                  </w:pPr>
                  <w:r>
                    <w:rPr>
                      <w:rFonts w:eastAsiaTheme="minorEastAsia"/>
                      <w:color w:val="auto"/>
                      <w:szCs w:val="21"/>
                    </w:rPr>
                    <w:t>编号</w:t>
                  </w:r>
                </w:p>
              </w:tc>
              <w:tc>
                <w:tcPr>
                  <w:tcW w:w="1375" w:type="dxa"/>
                  <w:tcMar>
                    <w:top w:w="80" w:type="dxa"/>
                    <w:left w:w="80" w:type="dxa"/>
                    <w:bottom w:w="80" w:type="dxa"/>
                    <w:right w:w="80" w:type="dxa"/>
                  </w:tcMar>
                  <w:vAlign w:val="center"/>
                </w:tcPr>
                <w:p w14:paraId="6317217E">
                  <w:pPr>
                    <w:jc w:val="center"/>
                    <w:rPr>
                      <w:rFonts w:eastAsiaTheme="minorEastAsia"/>
                      <w:color w:val="auto"/>
                      <w:szCs w:val="21"/>
                    </w:rPr>
                  </w:pPr>
                  <w:r>
                    <w:rPr>
                      <w:rFonts w:eastAsiaTheme="minorEastAsia"/>
                      <w:color w:val="auto"/>
                      <w:szCs w:val="21"/>
                    </w:rPr>
                    <w:t>分区名称</w:t>
                  </w:r>
                </w:p>
              </w:tc>
              <w:tc>
                <w:tcPr>
                  <w:tcW w:w="3363" w:type="dxa"/>
                  <w:tcMar>
                    <w:top w:w="80" w:type="dxa"/>
                    <w:left w:w="80" w:type="dxa"/>
                    <w:bottom w:w="80" w:type="dxa"/>
                    <w:right w:w="80" w:type="dxa"/>
                  </w:tcMar>
                  <w:vAlign w:val="center"/>
                </w:tcPr>
                <w:p w14:paraId="4E3F82A9">
                  <w:pPr>
                    <w:jc w:val="center"/>
                    <w:rPr>
                      <w:rFonts w:eastAsiaTheme="minorEastAsia"/>
                      <w:color w:val="auto"/>
                      <w:szCs w:val="21"/>
                    </w:rPr>
                  </w:pPr>
                  <w:r>
                    <w:rPr>
                      <w:rFonts w:eastAsiaTheme="minorEastAsia"/>
                      <w:color w:val="auto"/>
                      <w:szCs w:val="21"/>
                    </w:rPr>
                    <w:t>位置</w:t>
                  </w:r>
                </w:p>
              </w:tc>
              <w:tc>
                <w:tcPr>
                  <w:tcW w:w="2572" w:type="dxa"/>
                  <w:tcMar>
                    <w:top w:w="80" w:type="dxa"/>
                    <w:left w:w="80" w:type="dxa"/>
                    <w:bottom w:w="80" w:type="dxa"/>
                    <w:right w:w="80" w:type="dxa"/>
                  </w:tcMar>
                  <w:vAlign w:val="center"/>
                </w:tcPr>
                <w:p w14:paraId="3F0E1D59">
                  <w:pPr>
                    <w:jc w:val="center"/>
                    <w:rPr>
                      <w:rFonts w:eastAsiaTheme="minorEastAsia"/>
                      <w:color w:val="auto"/>
                      <w:szCs w:val="21"/>
                    </w:rPr>
                  </w:pPr>
                  <w:r>
                    <w:rPr>
                      <w:rFonts w:eastAsiaTheme="minorEastAsia"/>
                      <w:color w:val="auto"/>
                      <w:szCs w:val="21"/>
                    </w:rPr>
                    <w:t>防渗措施及要求</w:t>
                  </w:r>
                </w:p>
              </w:tc>
            </w:tr>
            <w:tr w14:paraId="55CFDDB7">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74" w:hRule="atLeast"/>
              </w:trPr>
              <w:tc>
                <w:tcPr>
                  <w:tcW w:w="768" w:type="dxa"/>
                  <w:tcMar>
                    <w:top w:w="80" w:type="dxa"/>
                    <w:left w:w="80" w:type="dxa"/>
                    <w:bottom w:w="80" w:type="dxa"/>
                    <w:right w:w="80" w:type="dxa"/>
                  </w:tcMar>
                  <w:vAlign w:val="center"/>
                </w:tcPr>
                <w:p w14:paraId="5D185003">
                  <w:pPr>
                    <w:jc w:val="center"/>
                    <w:rPr>
                      <w:rFonts w:eastAsiaTheme="minorEastAsia"/>
                      <w:color w:val="auto"/>
                      <w:szCs w:val="21"/>
                    </w:rPr>
                  </w:pPr>
                  <w:r>
                    <w:rPr>
                      <w:rFonts w:eastAsiaTheme="minorEastAsia"/>
                      <w:color w:val="auto"/>
                      <w:szCs w:val="21"/>
                    </w:rPr>
                    <w:t>1</w:t>
                  </w:r>
                </w:p>
              </w:tc>
              <w:tc>
                <w:tcPr>
                  <w:tcW w:w="1375" w:type="dxa"/>
                  <w:tcMar>
                    <w:top w:w="80" w:type="dxa"/>
                    <w:left w:w="80" w:type="dxa"/>
                    <w:bottom w:w="80" w:type="dxa"/>
                    <w:right w:w="80" w:type="dxa"/>
                  </w:tcMar>
                  <w:vAlign w:val="center"/>
                </w:tcPr>
                <w:p w14:paraId="34B750A9">
                  <w:pPr>
                    <w:jc w:val="center"/>
                    <w:rPr>
                      <w:rFonts w:eastAsiaTheme="minorEastAsia"/>
                      <w:color w:val="auto"/>
                      <w:szCs w:val="21"/>
                    </w:rPr>
                  </w:pPr>
                  <w:r>
                    <w:rPr>
                      <w:rFonts w:eastAsiaTheme="minorEastAsia"/>
                      <w:color w:val="auto"/>
                      <w:szCs w:val="21"/>
                    </w:rPr>
                    <w:t>简单防渗区</w:t>
                  </w:r>
                </w:p>
              </w:tc>
              <w:tc>
                <w:tcPr>
                  <w:tcW w:w="3363" w:type="dxa"/>
                  <w:tcMar>
                    <w:top w:w="80" w:type="dxa"/>
                    <w:left w:w="80" w:type="dxa"/>
                    <w:bottom w:w="80" w:type="dxa"/>
                    <w:right w:w="80" w:type="dxa"/>
                  </w:tcMar>
                  <w:vAlign w:val="center"/>
                </w:tcPr>
                <w:p w14:paraId="5D3B124B">
                  <w:pPr>
                    <w:jc w:val="center"/>
                    <w:rPr>
                      <w:rFonts w:eastAsiaTheme="minorEastAsia"/>
                      <w:color w:val="auto"/>
                      <w:szCs w:val="21"/>
                    </w:rPr>
                  </w:pPr>
                  <w:r>
                    <w:rPr>
                      <w:rFonts w:hint="eastAsia" w:cs="Times New Roman"/>
                      <w:color w:val="auto"/>
                      <w:kern w:val="2"/>
                      <w:sz w:val="21"/>
                      <w:szCs w:val="21"/>
                      <w:lang w:val="en-US" w:eastAsia="zh-CN"/>
                    </w:rPr>
                    <w:t>空气加热室及值班配电室</w:t>
                  </w:r>
                </w:p>
              </w:tc>
              <w:tc>
                <w:tcPr>
                  <w:tcW w:w="2572" w:type="dxa"/>
                  <w:tcMar>
                    <w:top w:w="80" w:type="dxa"/>
                    <w:left w:w="80" w:type="dxa"/>
                    <w:bottom w:w="80" w:type="dxa"/>
                    <w:right w:w="80" w:type="dxa"/>
                  </w:tcMar>
                  <w:vAlign w:val="center"/>
                </w:tcPr>
                <w:p w14:paraId="3A3D56D8">
                  <w:pPr>
                    <w:jc w:val="center"/>
                    <w:rPr>
                      <w:rFonts w:eastAsiaTheme="minorEastAsia"/>
                      <w:color w:val="auto"/>
                      <w:szCs w:val="21"/>
                    </w:rPr>
                  </w:pPr>
                  <w:bookmarkStart w:id="8" w:name="_Hlk56680288"/>
                  <w:r>
                    <w:rPr>
                      <w:rFonts w:eastAsiaTheme="minorEastAsia"/>
                      <w:color w:val="auto"/>
                      <w:szCs w:val="21"/>
                    </w:rPr>
                    <w:t>一般混凝土硬化地面防渗</w:t>
                  </w:r>
                  <w:bookmarkEnd w:id="8"/>
                </w:p>
              </w:tc>
            </w:tr>
            <w:tr w14:paraId="17BDC354">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74" w:hRule="atLeast"/>
              </w:trPr>
              <w:tc>
                <w:tcPr>
                  <w:tcW w:w="768" w:type="dxa"/>
                  <w:tcMar>
                    <w:top w:w="80" w:type="dxa"/>
                    <w:left w:w="80" w:type="dxa"/>
                    <w:bottom w:w="80" w:type="dxa"/>
                    <w:right w:w="80" w:type="dxa"/>
                  </w:tcMar>
                  <w:vAlign w:val="center"/>
                </w:tcPr>
                <w:p w14:paraId="195DAB40">
                  <w:pPr>
                    <w:jc w:val="center"/>
                    <w:rPr>
                      <w:rFonts w:eastAsiaTheme="minorEastAsia"/>
                      <w:color w:val="auto"/>
                      <w:szCs w:val="21"/>
                    </w:rPr>
                  </w:pPr>
                  <w:r>
                    <w:rPr>
                      <w:rFonts w:eastAsiaTheme="minorEastAsia"/>
                      <w:color w:val="auto"/>
                      <w:szCs w:val="21"/>
                    </w:rPr>
                    <w:t>2</w:t>
                  </w:r>
                </w:p>
              </w:tc>
              <w:tc>
                <w:tcPr>
                  <w:tcW w:w="1375" w:type="dxa"/>
                  <w:tcMar>
                    <w:top w:w="80" w:type="dxa"/>
                    <w:left w:w="80" w:type="dxa"/>
                    <w:bottom w:w="80" w:type="dxa"/>
                    <w:right w:w="80" w:type="dxa"/>
                  </w:tcMar>
                  <w:vAlign w:val="center"/>
                </w:tcPr>
                <w:p w14:paraId="0131B0F5">
                  <w:pPr>
                    <w:jc w:val="center"/>
                    <w:rPr>
                      <w:rFonts w:eastAsiaTheme="minorEastAsia"/>
                      <w:color w:val="auto"/>
                      <w:szCs w:val="21"/>
                    </w:rPr>
                  </w:pPr>
                  <w:r>
                    <w:rPr>
                      <w:rFonts w:eastAsiaTheme="minorEastAsia"/>
                      <w:color w:val="auto"/>
                      <w:szCs w:val="21"/>
                    </w:rPr>
                    <w:t>一般防渗区</w:t>
                  </w:r>
                </w:p>
              </w:tc>
              <w:tc>
                <w:tcPr>
                  <w:tcW w:w="3363" w:type="dxa"/>
                  <w:tcMar>
                    <w:top w:w="80" w:type="dxa"/>
                    <w:left w:w="80" w:type="dxa"/>
                    <w:bottom w:w="80" w:type="dxa"/>
                    <w:right w:w="80" w:type="dxa"/>
                  </w:tcMar>
                  <w:vAlign w:val="center"/>
                </w:tcPr>
                <w:p w14:paraId="541921E8">
                  <w:pPr>
                    <w:jc w:val="center"/>
                    <w:rPr>
                      <w:rFonts w:hint="eastAsia" w:eastAsiaTheme="minorEastAsia"/>
                      <w:color w:val="auto"/>
                      <w:szCs w:val="21"/>
                      <w:lang w:eastAsia="zh-CN"/>
                    </w:rPr>
                  </w:pPr>
                  <w:r>
                    <w:rPr>
                      <w:rFonts w:hint="eastAsia" w:eastAsiaTheme="minorEastAsia"/>
                      <w:color w:val="auto"/>
                      <w:szCs w:val="21"/>
                      <w:lang w:eastAsia="zh-CN"/>
                    </w:rPr>
                    <w:t>无轨胶轮车库及保养间、缓坡斜井井口房</w:t>
                  </w:r>
                </w:p>
              </w:tc>
              <w:tc>
                <w:tcPr>
                  <w:tcW w:w="2572" w:type="dxa"/>
                  <w:tcMar>
                    <w:top w:w="80" w:type="dxa"/>
                    <w:left w:w="80" w:type="dxa"/>
                    <w:bottom w:w="80" w:type="dxa"/>
                    <w:right w:w="80" w:type="dxa"/>
                  </w:tcMar>
                  <w:vAlign w:val="center"/>
                </w:tcPr>
                <w:p w14:paraId="6897F519">
                  <w:pPr>
                    <w:jc w:val="center"/>
                    <w:rPr>
                      <w:rFonts w:eastAsiaTheme="minorEastAsia"/>
                      <w:color w:val="auto"/>
                      <w:szCs w:val="21"/>
                    </w:rPr>
                  </w:pPr>
                  <w:r>
                    <w:rPr>
                      <w:rFonts w:hint="eastAsia"/>
                      <w:color w:val="auto"/>
                      <w:szCs w:val="21"/>
                      <w:lang w:eastAsia="zh-CN"/>
                    </w:rPr>
                    <w:t>防渗系数</w:t>
                  </w:r>
                  <w:r>
                    <w:rPr>
                      <w:color w:val="auto"/>
                      <w:szCs w:val="21"/>
                    </w:rPr>
                    <w:t>≤1×10</w:t>
                  </w:r>
                  <w:r>
                    <w:rPr>
                      <w:color w:val="auto"/>
                      <w:szCs w:val="21"/>
                      <w:vertAlign w:val="superscript"/>
                    </w:rPr>
                    <w:t>-7</w:t>
                  </w:r>
                  <w:r>
                    <w:rPr>
                      <w:color w:val="auto"/>
                      <w:szCs w:val="21"/>
                    </w:rPr>
                    <w:t>cm/s</w:t>
                  </w:r>
                </w:p>
              </w:tc>
            </w:tr>
            <w:tr w14:paraId="38E2B345">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74" w:hRule="atLeast"/>
              </w:trPr>
              <w:tc>
                <w:tcPr>
                  <w:tcW w:w="768" w:type="dxa"/>
                  <w:tcMar>
                    <w:top w:w="80" w:type="dxa"/>
                    <w:left w:w="80" w:type="dxa"/>
                    <w:bottom w:w="80" w:type="dxa"/>
                    <w:right w:w="80" w:type="dxa"/>
                  </w:tcMar>
                  <w:vAlign w:val="center"/>
                </w:tcPr>
                <w:p w14:paraId="5800A30B">
                  <w:pPr>
                    <w:jc w:val="center"/>
                    <w:rPr>
                      <w:rFonts w:eastAsiaTheme="minorEastAsia"/>
                      <w:color w:val="auto"/>
                      <w:szCs w:val="21"/>
                    </w:rPr>
                  </w:pPr>
                  <w:r>
                    <w:rPr>
                      <w:rFonts w:hint="eastAsia" w:eastAsiaTheme="minorEastAsia"/>
                      <w:color w:val="auto"/>
                      <w:szCs w:val="21"/>
                    </w:rPr>
                    <w:t>3</w:t>
                  </w:r>
                </w:p>
              </w:tc>
              <w:tc>
                <w:tcPr>
                  <w:tcW w:w="1375" w:type="dxa"/>
                  <w:tcMar>
                    <w:top w:w="80" w:type="dxa"/>
                    <w:left w:w="80" w:type="dxa"/>
                    <w:bottom w:w="80" w:type="dxa"/>
                    <w:right w:w="80" w:type="dxa"/>
                  </w:tcMar>
                  <w:vAlign w:val="center"/>
                </w:tcPr>
                <w:p w14:paraId="46AF9FE4">
                  <w:pPr>
                    <w:jc w:val="center"/>
                    <w:rPr>
                      <w:rFonts w:eastAsiaTheme="minorEastAsia"/>
                      <w:color w:val="auto"/>
                      <w:szCs w:val="21"/>
                    </w:rPr>
                  </w:pPr>
                  <w:r>
                    <w:rPr>
                      <w:rFonts w:hint="eastAsia" w:eastAsiaTheme="minorEastAsia"/>
                      <w:color w:val="auto"/>
                      <w:szCs w:val="21"/>
                    </w:rPr>
                    <w:t>重点防渗</w:t>
                  </w:r>
                  <w:r>
                    <w:rPr>
                      <w:rFonts w:eastAsiaTheme="minorEastAsia"/>
                      <w:color w:val="auto"/>
                      <w:szCs w:val="21"/>
                    </w:rPr>
                    <w:t>区</w:t>
                  </w:r>
                </w:p>
              </w:tc>
              <w:tc>
                <w:tcPr>
                  <w:tcW w:w="3363" w:type="dxa"/>
                  <w:tcMar>
                    <w:top w:w="80" w:type="dxa"/>
                    <w:left w:w="80" w:type="dxa"/>
                    <w:bottom w:w="80" w:type="dxa"/>
                    <w:right w:w="80" w:type="dxa"/>
                  </w:tcMar>
                  <w:vAlign w:val="center"/>
                </w:tcPr>
                <w:p w14:paraId="4BC1338D">
                  <w:pPr>
                    <w:jc w:val="center"/>
                    <w:rPr>
                      <w:rFonts w:hint="eastAsia" w:eastAsiaTheme="minorEastAsia"/>
                      <w:color w:val="auto"/>
                      <w:szCs w:val="21"/>
                      <w:lang w:eastAsia="zh-CN"/>
                    </w:rPr>
                  </w:pPr>
                  <w:r>
                    <w:rPr>
                      <w:rFonts w:hint="eastAsia" w:eastAsiaTheme="minorEastAsia"/>
                      <w:color w:val="auto"/>
                      <w:szCs w:val="21"/>
                      <w:lang w:eastAsia="zh-CN"/>
                    </w:rPr>
                    <w:t>加油场地</w:t>
                  </w:r>
                </w:p>
              </w:tc>
              <w:tc>
                <w:tcPr>
                  <w:tcW w:w="2572" w:type="dxa"/>
                  <w:tcMar>
                    <w:top w:w="80" w:type="dxa"/>
                    <w:left w:w="80" w:type="dxa"/>
                    <w:bottom w:w="80" w:type="dxa"/>
                    <w:right w:w="80" w:type="dxa"/>
                  </w:tcMar>
                  <w:vAlign w:val="center"/>
                </w:tcPr>
                <w:p w14:paraId="315568B6">
                  <w:pPr>
                    <w:jc w:val="center"/>
                    <w:rPr>
                      <w:rFonts w:eastAsiaTheme="minorEastAsia"/>
                      <w:color w:val="auto"/>
                      <w:szCs w:val="21"/>
                    </w:rPr>
                  </w:pPr>
                  <w:r>
                    <w:rPr>
                      <w:rFonts w:hint="eastAsia"/>
                      <w:color w:val="auto"/>
                      <w:szCs w:val="21"/>
                      <w:lang w:eastAsia="zh-CN"/>
                    </w:rPr>
                    <w:t>防渗系数</w:t>
                  </w:r>
                  <w:r>
                    <w:rPr>
                      <w:color w:val="auto"/>
                      <w:szCs w:val="21"/>
                    </w:rPr>
                    <w:t>≤1×10</w:t>
                  </w:r>
                  <w:r>
                    <w:rPr>
                      <w:color w:val="auto"/>
                      <w:szCs w:val="21"/>
                      <w:vertAlign w:val="superscript"/>
                    </w:rPr>
                    <w:t>-</w:t>
                  </w:r>
                  <w:r>
                    <w:rPr>
                      <w:rFonts w:hint="eastAsia"/>
                      <w:color w:val="auto"/>
                      <w:szCs w:val="21"/>
                      <w:vertAlign w:val="superscript"/>
                      <w:lang w:val="en-US" w:eastAsia="zh-CN"/>
                    </w:rPr>
                    <w:t>10</w:t>
                  </w:r>
                  <w:r>
                    <w:rPr>
                      <w:color w:val="auto"/>
                      <w:szCs w:val="21"/>
                    </w:rPr>
                    <w:t>cm/s</w:t>
                  </w:r>
                </w:p>
              </w:tc>
            </w:tr>
          </w:tbl>
          <w:p w14:paraId="46C046DE">
            <w:pPr>
              <w:rPr>
                <w:rFonts w:hint="eastAsia" w:ascii="Times New Roman" w:hAnsi="Times New Roman"/>
                <w:color w:val="auto"/>
              </w:rPr>
            </w:pPr>
          </w:p>
          <w:p w14:paraId="3C6434BB">
            <w:pPr>
              <w:rPr>
                <w:rFonts w:hint="eastAsia" w:ascii="Times New Roman" w:hAnsi="Times New Roman"/>
                <w:color w:val="auto"/>
              </w:rPr>
            </w:pPr>
          </w:p>
          <w:p w14:paraId="70409E7F">
            <w:pPr>
              <w:rPr>
                <w:rFonts w:hint="eastAsia" w:ascii="Times New Roman" w:hAnsi="Times New Roman"/>
                <w:color w:val="auto"/>
              </w:rPr>
            </w:pPr>
          </w:p>
          <w:p w14:paraId="41B00752">
            <w:pPr>
              <w:rPr>
                <w:rFonts w:hint="eastAsia" w:ascii="Times New Roman" w:hAnsi="Times New Roman"/>
                <w:color w:val="auto"/>
              </w:rPr>
            </w:pPr>
          </w:p>
          <w:p w14:paraId="02E56727">
            <w:pPr>
              <w:rPr>
                <w:rFonts w:hint="eastAsia" w:ascii="Times New Roman" w:hAnsi="Times New Roman"/>
                <w:color w:val="auto"/>
              </w:rPr>
            </w:pPr>
          </w:p>
          <w:p w14:paraId="505E04A2">
            <w:pPr>
              <w:rPr>
                <w:rFonts w:hint="eastAsia" w:ascii="Times New Roman" w:hAnsi="Times New Roman"/>
                <w:color w:val="auto"/>
              </w:rPr>
            </w:pPr>
          </w:p>
          <w:p w14:paraId="44376327">
            <w:pPr>
              <w:rPr>
                <w:rFonts w:hint="eastAsia" w:ascii="Times New Roman" w:hAnsi="Times New Roman"/>
                <w:color w:val="auto"/>
              </w:rPr>
            </w:pPr>
          </w:p>
          <w:p w14:paraId="1A6191DE">
            <w:pPr>
              <w:rPr>
                <w:rFonts w:hint="eastAsia" w:ascii="Times New Roman" w:hAnsi="Times New Roman"/>
                <w:color w:val="auto"/>
              </w:rPr>
            </w:pPr>
          </w:p>
          <w:p w14:paraId="1E629115">
            <w:pPr>
              <w:rPr>
                <w:rFonts w:hint="eastAsia" w:ascii="Times New Roman" w:hAnsi="Times New Roman"/>
                <w:color w:val="auto"/>
              </w:rPr>
            </w:pPr>
          </w:p>
          <w:bookmarkEnd w:id="7"/>
          <w:p w14:paraId="10C1C716">
            <w:pPr>
              <w:spacing w:line="360" w:lineRule="auto"/>
              <w:jc w:val="center"/>
              <w:rPr>
                <w:rFonts w:hint="eastAsia"/>
                <w:color w:val="auto"/>
                <w:sz w:val="24"/>
                <w:lang w:val="en-US" w:eastAsia="zh-CN"/>
              </w:rPr>
            </w:pPr>
            <w:r>
              <w:rPr>
                <w:color w:val="auto"/>
              </w:rPr>
              <w:object>
                <v:shape id="_x0000_i1026" o:spt="75" type="#_x0000_t75" style="height:245.3pt;width:381.55pt;" o:ole="t" filled="f" o:preferrelative="t" stroked="f" coordsize="21600,21600">
                  <v:path/>
                  <v:fill on="f" focussize="0,0"/>
                  <v:stroke on="f"/>
                  <v:imagedata r:id="rId30" o:title=""/>
                  <o:lock v:ext="edit" aspectratio="f"/>
                  <w10:wrap type="none"/>
                  <w10:anchorlock/>
                </v:shape>
                <o:OLEObject Type="Embed" ProgID="Visio.Drawing.11" ShapeID="_x0000_i1026" DrawAspect="Content" ObjectID="_1468075726" r:id="rId29">
                  <o:LockedField>false</o:LockedField>
                </o:OLEObject>
              </w:object>
            </w:r>
          </w:p>
          <w:p w14:paraId="3C4CFC2A">
            <w:pPr>
              <w:spacing w:line="360" w:lineRule="auto"/>
              <w:jc w:val="center"/>
              <w:rPr>
                <w:rFonts w:hint="default"/>
                <w:b/>
                <w:bCs/>
                <w:color w:val="auto"/>
                <w:sz w:val="21"/>
                <w:szCs w:val="21"/>
                <w:lang w:val="en-US" w:eastAsia="zh-CN"/>
              </w:rPr>
            </w:pPr>
            <w:r>
              <w:rPr>
                <w:rFonts w:hint="eastAsia"/>
                <w:b/>
                <w:bCs/>
                <w:color w:val="auto"/>
                <w:sz w:val="21"/>
                <w:szCs w:val="21"/>
                <w:lang w:val="en-US" w:eastAsia="zh-CN"/>
              </w:rPr>
              <w:t>图4-1    分区防渗图</w:t>
            </w:r>
          </w:p>
          <w:p w14:paraId="5B6A9566">
            <w:pPr>
              <w:spacing w:line="360" w:lineRule="auto"/>
              <w:ind w:firstLine="482"/>
              <w:rPr>
                <w:color w:val="auto"/>
                <w:sz w:val="24"/>
              </w:rPr>
            </w:pPr>
            <w:r>
              <w:rPr>
                <w:rFonts w:hint="eastAsia"/>
                <w:color w:val="auto"/>
                <w:sz w:val="24"/>
                <w:lang w:val="en-US" w:eastAsia="zh-CN"/>
              </w:rPr>
              <w:t>5</w:t>
            </w:r>
            <w:r>
              <w:rPr>
                <w:rFonts w:hint="eastAsia"/>
                <w:color w:val="auto"/>
                <w:sz w:val="24"/>
              </w:rPr>
              <w:t>.2 地下水、土壤跟踪检测要求</w:t>
            </w:r>
          </w:p>
          <w:p w14:paraId="609FC7E5">
            <w:pPr>
              <w:spacing w:line="360" w:lineRule="auto"/>
              <w:ind w:firstLine="482"/>
              <w:rPr>
                <w:color w:val="auto"/>
                <w:sz w:val="24"/>
              </w:rPr>
            </w:pPr>
            <w:r>
              <w:rPr>
                <w:rFonts w:hint="eastAsia"/>
                <w:color w:val="auto"/>
                <w:sz w:val="24"/>
              </w:rPr>
              <w:t>项目运行过程中在做好有效的防渗措施后，对地下水、土壤环境影响较小，故不设跟踪检测要求。</w:t>
            </w:r>
          </w:p>
          <w:p w14:paraId="588442CC">
            <w:pPr>
              <w:spacing w:line="360" w:lineRule="auto"/>
              <w:ind w:firstLine="480"/>
              <w:rPr>
                <w:color w:val="auto"/>
                <w:sz w:val="24"/>
              </w:rPr>
            </w:pPr>
            <w:r>
              <w:rPr>
                <w:rFonts w:hint="eastAsia"/>
                <w:color w:val="auto"/>
                <w:sz w:val="24"/>
                <w:lang w:eastAsia="zh-CN"/>
              </w:rPr>
              <w:t>六</w:t>
            </w:r>
            <w:r>
              <w:rPr>
                <w:rFonts w:hint="eastAsia"/>
                <w:color w:val="auto"/>
                <w:sz w:val="24"/>
              </w:rPr>
              <w:t>、环境风险</w:t>
            </w:r>
          </w:p>
          <w:p w14:paraId="6363B7A3">
            <w:pPr>
              <w:spacing w:line="360" w:lineRule="auto"/>
              <w:ind w:firstLine="480"/>
              <w:rPr>
                <w:color w:val="auto"/>
                <w:sz w:val="24"/>
              </w:rPr>
            </w:pPr>
            <w:r>
              <w:rPr>
                <w:rFonts w:hint="eastAsia"/>
                <w:color w:val="auto"/>
                <w:sz w:val="24"/>
                <w:lang w:val="en-US" w:eastAsia="zh-CN"/>
              </w:rPr>
              <w:t>6</w:t>
            </w:r>
            <w:r>
              <w:rPr>
                <w:color w:val="auto"/>
                <w:sz w:val="24"/>
              </w:rPr>
              <w:t>.1建设项目风险源调查</w:t>
            </w:r>
          </w:p>
          <w:p w14:paraId="66F03733">
            <w:pPr>
              <w:spacing w:line="360" w:lineRule="auto"/>
              <w:ind w:firstLine="480"/>
              <w:rPr>
                <w:color w:val="auto"/>
                <w:sz w:val="24"/>
              </w:rPr>
            </w:pPr>
            <w:r>
              <w:rPr>
                <w:color w:val="auto"/>
                <w:sz w:val="24"/>
              </w:rPr>
              <w:t>根据建设项目危险物质数量和分布情况、项目特点，结合《建设项目环境风险评价技术导则》（HJ169-2018）</w:t>
            </w:r>
            <w:r>
              <w:rPr>
                <w:rFonts w:hint="eastAsia"/>
                <w:color w:val="auto"/>
                <w:sz w:val="24"/>
              </w:rPr>
              <w:t>，</w:t>
            </w:r>
            <w:r>
              <w:rPr>
                <w:color w:val="auto"/>
                <w:sz w:val="24"/>
              </w:rPr>
              <w:t>项目运行过程中涉及的物料（物质）</w:t>
            </w:r>
            <w:r>
              <w:rPr>
                <w:rFonts w:hint="eastAsia"/>
                <w:color w:val="auto"/>
                <w:sz w:val="24"/>
                <w:lang w:eastAsia="zh-CN"/>
              </w:rPr>
              <w:t>为柴油</w:t>
            </w:r>
            <w:r>
              <w:rPr>
                <w:color w:val="auto"/>
                <w:sz w:val="24"/>
              </w:rPr>
              <w:t>。</w:t>
            </w:r>
          </w:p>
          <w:p w14:paraId="46D37F58">
            <w:pPr>
              <w:spacing w:line="360" w:lineRule="auto"/>
              <w:ind w:firstLine="480"/>
              <w:rPr>
                <w:color w:val="auto"/>
                <w:sz w:val="24"/>
              </w:rPr>
            </w:pPr>
            <w:r>
              <w:rPr>
                <w:color w:val="auto"/>
                <w:sz w:val="24"/>
              </w:rPr>
              <w:t>各危险物质的全厂存在量具体见表4-</w:t>
            </w:r>
            <w:r>
              <w:rPr>
                <w:rFonts w:hint="eastAsia"/>
                <w:color w:val="auto"/>
                <w:sz w:val="24"/>
                <w:lang w:val="en-US" w:eastAsia="zh-CN"/>
              </w:rPr>
              <w:t>4</w:t>
            </w:r>
            <w:r>
              <w:rPr>
                <w:color w:val="auto"/>
                <w:sz w:val="24"/>
              </w:rPr>
              <w:t>。</w:t>
            </w:r>
          </w:p>
          <w:p w14:paraId="4CE5A8ED">
            <w:pPr>
              <w:pStyle w:val="7"/>
              <w:spacing w:after="0" w:line="360" w:lineRule="auto"/>
              <w:jc w:val="center"/>
              <w:rPr>
                <w:b/>
                <w:bCs/>
                <w:color w:val="auto"/>
                <w:szCs w:val="21"/>
              </w:rPr>
            </w:pPr>
            <w:r>
              <w:rPr>
                <w:b/>
                <w:bCs/>
                <w:color w:val="auto"/>
                <w:szCs w:val="21"/>
              </w:rPr>
              <w:t>表4-</w:t>
            </w:r>
            <w:r>
              <w:rPr>
                <w:rFonts w:hint="eastAsia"/>
                <w:b/>
                <w:bCs/>
                <w:color w:val="auto"/>
                <w:szCs w:val="21"/>
                <w:lang w:val="en-US" w:eastAsia="zh-CN"/>
              </w:rPr>
              <w:t>4</w:t>
            </w:r>
            <w:r>
              <w:rPr>
                <w:b/>
                <w:bCs/>
                <w:color w:val="auto"/>
                <w:szCs w:val="21"/>
              </w:rPr>
              <w:t xml:space="preserve">    项目主要危险物质及数量</w:t>
            </w:r>
          </w:p>
          <w:tbl>
            <w:tblPr>
              <w:tblStyle w:val="19"/>
              <w:tblW w:w="4986"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2135"/>
              <w:gridCol w:w="2995"/>
              <w:gridCol w:w="2984"/>
            </w:tblGrid>
            <w:tr w14:paraId="39F8DF9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15" w:type="pct"/>
                  <w:tcBorders>
                    <w:tl2br w:val="nil"/>
                    <w:tr2bl w:val="nil"/>
                  </w:tcBorders>
                  <w:vAlign w:val="center"/>
                </w:tcPr>
                <w:p w14:paraId="4DACEB64">
                  <w:pPr>
                    <w:jc w:val="center"/>
                    <w:rPr>
                      <w:color w:val="auto"/>
                      <w:szCs w:val="21"/>
                    </w:rPr>
                  </w:pPr>
                  <w:r>
                    <w:rPr>
                      <w:color w:val="auto"/>
                      <w:szCs w:val="21"/>
                    </w:rPr>
                    <w:t>序号</w:t>
                  </w:r>
                </w:p>
              </w:tc>
              <w:tc>
                <w:tcPr>
                  <w:tcW w:w="1845" w:type="pct"/>
                  <w:tcBorders>
                    <w:tl2br w:val="nil"/>
                    <w:tr2bl w:val="nil"/>
                  </w:tcBorders>
                  <w:vAlign w:val="center"/>
                </w:tcPr>
                <w:p w14:paraId="4B300634">
                  <w:pPr>
                    <w:jc w:val="center"/>
                    <w:rPr>
                      <w:color w:val="auto"/>
                      <w:szCs w:val="21"/>
                    </w:rPr>
                  </w:pPr>
                  <w:r>
                    <w:rPr>
                      <w:color w:val="auto"/>
                      <w:szCs w:val="21"/>
                    </w:rPr>
                    <w:t>危险物质名称</w:t>
                  </w:r>
                </w:p>
              </w:tc>
              <w:tc>
                <w:tcPr>
                  <w:tcW w:w="1838" w:type="pct"/>
                  <w:tcBorders>
                    <w:tl2br w:val="nil"/>
                    <w:tr2bl w:val="nil"/>
                  </w:tcBorders>
                  <w:vAlign w:val="center"/>
                </w:tcPr>
                <w:p w14:paraId="6EC2C28E">
                  <w:pPr>
                    <w:jc w:val="center"/>
                    <w:rPr>
                      <w:color w:val="auto"/>
                      <w:szCs w:val="21"/>
                    </w:rPr>
                  </w:pPr>
                  <w:r>
                    <w:rPr>
                      <w:rFonts w:hint="eastAsia"/>
                      <w:color w:val="auto"/>
                      <w:szCs w:val="21"/>
                    </w:rPr>
                    <w:t>最大暂存</w:t>
                  </w:r>
                  <w:r>
                    <w:rPr>
                      <w:color w:val="auto"/>
                      <w:szCs w:val="21"/>
                    </w:rPr>
                    <w:t>量（t）</w:t>
                  </w:r>
                </w:p>
              </w:tc>
            </w:tr>
            <w:tr w14:paraId="1FD1A31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15" w:type="pct"/>
                  <w:tcBorders>
                    <w:tl2br w:val="nil"/>
                    <w:tr2bl w:val="nil"/>
                  </w:tcBorders>
                  <w:vAlign w:val="center"/>
                </w:tcPr>
                <w:p w14:paraId="7952F6B9">
                  <w:pPr>
                    <w:jc w:val="center"/>
                    <w:rPr>
                      <w:color w:val="auto"/>
                      <w:szCs w:val="21"/>
                    </w:rPr>
                  </w:pPr>
                  <w:r>
                    <w:rPr>
                      <w:color w:val="auto"/>
                      <w:szCs w:val="21"/>
                    </w:rPr>
                    <w:t>1</w:t>
                  </w:r>
                </w:p>
              </w:tc>
              <w:tc>
                <w:tcPr>
                  <w:tcW w:w="1845" w:type="pct"/>
                  <w:tcBorders>
                    <w:tl2br w:val="nil"/>
                    <w:tr2bl w:val="nil"/>
                  </w:tcBorders>
                  <w:vAlign w:val="center"/>
                </w:tcPr>
                <w:p w14:paraId="5C2AD199">
                  <w:pPr>
                    <w:jc w:val="center"/>
                    <w:rPr>
                      <w:rFonts w:hint="eastAsia" w:eastAsia="宋体"/>
                      <w:color w:val="auto"/>
                      <w:szCs w:val="21"/>
                      <w:lang w:eastAsia="zh-CN"/>
                    </w:rPr>
                  </w:pPr>
                  <w:r>
                    <w:rPr>
                      <w:rFonts w:hint="eastAsia"/>
                      <w:color w:val="auto"/>
                      <w:szCs w:val="21"/>
                      <w:lang w:eastAsia="zh-CN"/>
                    </w:rPr>
                    <w:t>柴油</w:t>
                  </w:r>
                </w:p>
              </w:tc>
              <w:tc>
                <w:tcPr>
                  <w:tcW w:w="1838" w:type="pct"/>
                  <w:tcBorders>
                    <w:tl2br w:val="nil"/>
                    <w:tr2bl w:val="nil"/>
                  </w:tcBorders>
                  <w:vAlign w:val="center"/>
                </w:tcPr>
                <w:p w14:paraId="5B7C49D6">
                  <w:pPr>
                    <w:jc w:val="center"/>
                    <w:rPr>
                      <w:rFonts w:hint="default" w:eastAsia="宋体"/>
                      <w:color w:val="auto"/>
                      <w:szCs w:val="21"/>
                      <w:lang w:val="en-US" w:eastAsia="zh-CN"/>
                    </w:rPr>
                  </w:pPr>
                  <w:r>
                    <w:rPr>
                      <w:rFonts w:hint="eastAsia"/>
                      <w:color w:val="auto"/>
                      <w:szCs w:val="21"/>
                      <w:lang w:val="en-US" w:eastAsia="zh-CN"/>
                    </w:rPr>
                    <w:t>1</w:t>
                  </w:r>
                </w:p>
              </w:tc>
            </w:tr>
          </w:tbl>
          <w:p w14:paraId="25D1C23F">
            <w:pPr>
              <w:spacing w:line="360" w:lineRule="auto"/>
              <w:ind w:firstLine="480"/>
              <w:rPr>
                <w:color w:val="auto"/>
                <w:sz w:val="24"/>
              </w:rPr>
            </w:pPr>
            <w:r>
              <w:rPr>
                <w:rFonts w:hint="eastAsia"/>
                <w:color w:val="auto"/>
                <w:sz w:val="24"/>
                <w:lang w:val="en-US" w:eastAsia="zh-CN"/>
              </w:rPr>
              <w:t>6</w:t>
            </w:r>
            <w:r>
              <w:rPr>
                <w:color w:val="auto"/>
                <w:sz w:val="24"/>
              </w:rPr>
              <w:t>.2风险潜势力初判</w:t>
            </w:r>
          </w:p>
          <w:p w14:paraId="066403BC">
            <w:pPr>
              <w:spacing w:line="360" w:lineRule="auto"/>
              <w:ind w:firstLine="480"/>
              <w:rPr>
                <w:color w:val="auto"/>
                <w:sz w:val="24"/>
              </w:rPr>
            </w:pPr>
            <w:r>
              <w:rPr>
                <w:rFonts w:hint="eastAsia"/>
                <w:color w:val="auto"/>
                <w:sz w:val="24"/>
                <w:lang w:val="en-US" w:eastAsia="zh-CN"/>
              </w:rPr>
              <w:t>6</w:t>
            </w:r>
            <w:r>
              <w:rPr>
                <w:color w:val="auto"/>
                <w:sz w:val="24"/>
              </w:rPr>
              <w:t>.2.1危险物质及工艺系统危险性（P）的分级</w:t>
            </w:r>
          </w:p>
          <w:p w14:paraId="4716ADB5">
            <w:pPr>
              <w:spacing w:line="360" w:lineRule="auto"/>
              <w:ind w:firstLine="480"/>
              <w:rPr>
                <w:color w:val="auto"/>
                <w:sz w:val="24"/>
              </w:rPr>
            </w:pPr>
            <w:r>
              <w:rPr>
                <w:rFonts w:hint="eastAsia"/>
                <w:color w:val="auto"/>
                <w:sz w:val="24"/>
                <w:lang w:val="en-US" w:eastAsia="zh-CN"/>
              </w:rPr>
              <w:t>6</w:t>
            </w:r>
            <w:r>
              <w:rPr>
                <w:color w:val="auto"/>
                <w:sz w:val="24"/>
              </w:rPr>
              <w:t>.2.1.1危险物质数量与临界量比值（Q）</w:t>
            </w:r>
          </w:p>
          <w:p w14:paraId="09806DBC">
            <w:pPr>
              <w:spacing w:line="360" w:lineRule="auto"/>
              <w:ind w:firstLine="480"/>
              <w:rPr>
                <w:color w:val="auto"/>
                <w:sz w:val="24"/>
              </w:rPr>
            </w:pPr>
            <w:r>
              <w:rPr>
                <w:color w:val="auto"/>
                <w:sz w:val="24"/>
              </w:rPr>
              <w:t>计算所涉及的每种危险物质在厂界内的最大存在总量与其在附录B中对应临界量的比值Q。在不同厂区的同一种物质，按其在厂界内的最大存在总量计算。</w:t>
            </w:r>
          </w:p>
          <w:p w14:paraId="1E2F3A82">
            <w:pPr>
              <w:spacing w:line="360" w:lineRule="auto"/>
              <w:ind w:firstLine="480"/>
              <w:rPr>
                <w:color w:val="auto"/>
                <w:sz w:val="24"/>
              </w:rPr>
            </w:pPr>
            <w:r>
              <w:rPr>
                <w:color w:val="auto"/>
                <w:sz w:val="24"/>
              </w:rPr>
              <w:t>当只涉及一种危险物质时，计算该物质的总量与其临界量比值，即为Q；</w:t>
            </w:r>
          </w:p>
          <w:p w14:paraId="58BFA8DC">
            <w:pPr>
              <w:spacing w:line="360" w:lineRule="auto"/>
              <w:ind w:firstLine="480"/>
              <w:rPr>
                <w:color w:val="auto"/>
                <w:sz w:val="24"/>
              </w:rPr>
            </w:pPr>
            <w:r>
              <w:rPr>
                <w:color w:val="auto"/>
                <w:sz w:val="24"/>
              </w:rPr>
              <w:t>当存在多种危险物质时，则按照下式计算物质的总量与其临界量比值（Q）：</w:t>
            </w:r>
          </w:p>
          <w:p w14:paraId="365A8171">
            <w:pPr>
              <w:spacing w:line="360" w:lineRule="auto"/>
              <w:ind w:firstLine="480" w:firstLineChars="200"/>
              <w:jc w:val="center"/>
              <w:rPr>
                <w:color w:val="auto"/>
                <w:sz w:val="24"/>
              </w:rPr>
            </w:pPr>
            <w:r>
              <w:rPr>
                <w:color w:val="auto"/>
                <w:sz w:val="24"/>
              </w:rPr>
              <w:t>Q=q1/Q1+ q2/Q2+ q3/Q3+ ······+ qn/Qn</w:t>
            </w:r>
          </w:p>
          <w:p w14:paraId="3142B2C4">
            <w:pPr>
              <w:spacing w:line="360" w:lineRule="auto"/>
              <w:ind w:firstLine="480" w:firstLineChars="200"/>
              <w:rPr>
                <w:color w:val="auto"/>
                <w:sz w:val="24"/>
              </w:rPr>
            </w:pPr>
            <w:r>
              <w:rPr>
                <w:color w:val="auto"/>
                <w:sz w:val="24"/>
              </w:rPr>
              <w:t>式中：q1，q2，q3······，qn—每种危险物质最大存在总量，t；</w:t>
            </w:r>
          </w:p>
          <w:p w14:paraId="1AF51FB3">
            <w:pPr>
              <w:spacing w:line="360" w:lineRule="auto"/>
              <w:ind w:firstLine="1200" w:firstLineChars="500"/>
              <w:rPr>
                <w:color w:val="auto"/>
                <w:sz w:val="24"/>
              </w:rPr>
            </w:pPr>
            <w:r>
              <w:rPr>
                <w:color w:val="auto"/>
                <w:sz w:val="24"/>
              </w:rPr>
              <w:t>Q1，Q2，Q3······，Qn—每种危险物质临界量，t。</w:t>
            </w:r>
          </w:p>
          <w:p w14:paraId="542B5B0F">
            <w:pPr>
              <w:spacing w:line="360" w:lineRule="auto"/>
              <w:ind w:firstLine="1200" w:firstLineChars="500"/>
              <w:rPr>
                <w:color w:val="auto"/>
                <w:sz w:val="24"/>
              </w:rPr>
            </w:pPr>
            <w:r>
              <w:rPr>
                <w:color w:val="auto"/>
                <w:sz w:val="24"/>
              </w:rPr>
              <w:t>当Q&lt;1时，本项目环境风险潜势为Ⅰ。</w:t>
            </w:r>
          </w:p>
          <w:p w14:paraId="79F8276A">
            <w:pPr>
              <w:spacing w:line="360" w:lineRule="auto"/>
              <w:ind w:firstLine="480" w:firstLineChars="200"/>
              <w:rPr>
                <w:b/>
                <w:color w:val="auto"/>
                <w:spacing w:val="-10"/>
                <w:sz w:val="24"/>
              </w:rPr>
            </w:pPr>
            <w:r>
              <w:rPr>
                <w:color w:val="auto"/>
                <w:sz w:val="24"/>
              </w:rPr>
              <w:t>当Q≥1时，将Q值划分为：（1）1≤Q&lt;10；（2）10≤Q&lt;100；（3）Q≥100。</w:t>
            </w:r>
          </w:p>
          <w:p w14:paraId="32159554">
            <w:pPr>
              <w:pStyle w:val="7"/>
              <w:spacing w:after="0" w:line="360" w:lineRule="auto"/>
              <w:jc w:val="center"/>
              <w:rPr>
                <w:b/>
                <w:bCs/>
                <w:color w:val="auto"/>
                <w:szCs w:val="21"/>
              </w:rPr>
            </w:pPr>
            <w:r>
              <w:rPr>
                <w:b/>
                <w:bCs/>
                <w:color w:val="auto"/>
                <w:szCs w:val="21"/>
              </w:rPr>
              <w:t>表 4-</w:t>
            </w:r>
            <w:r>
              <w:rPr>
                <w:rFonts w:hint="eastAsia"/>
                <w:b/>
                <w:bCs/>
                <w:color w:val="auto"/>
                <w:szCs w:val="21"/>
                <w:lang w:val="en-US" w:eastAsia="zh-CN"/>
              </w:rPr>
              <w:t>5</w:t>
            </w:r>
            <w:r>
              <w:rPr>
                <w:b/>
                <w:bCs/>
                <w:color w:val="auto"/>
                <w:szCs w:val="21"/>
              </w:rPr>
              <w:t xml:space="preserve">    环境风险物质数量与其临界量比值（Q）汇总表</w:t>
            </w:r>
          </w:p>
          <w:tbl>
            <w:tblPr>
              <w:tblStyle w:val="19"/>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760"/>
              <w:gridCol w:w="1734"/>
              <w:gridCol w:w="2299"/>
              <w:gridCol w:w="1851"/>
              <w:gridCol w:w="1489"/>
            </w:tblGrid>
            <w:tr w14:paraId="7BFB883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467" w:type="pct"/>
                  <w:tcBorders>
                    <w:tl2br w:val="nil"/>
                    <w:tr2bl w:val="nil"/>
                  </w:tcBorders>
                  <w:vAlign w:val="center"/>
                </w:tcPr>
                <w:p w14:paraId="71FB5B73">
                  <w:pPr>
                    <w:jc w:val="center"/>
                    <w:rPr>
                      <w:color w:val="auto"/>
                      <w:szCs w:val="21"/>
                    </w:rPr>
                  </w:pPr>
                  <w:r>
                    <w:rPr>
                      <w:color w:val="auto"/>
                      <w:szCs w:val="21"/>
                    </w:rPr>
                    <w:t>序号</w:t>
                  </w:r>
                </w:p>
              </w:tc>
              <w:tc>
                <w:tcPr>
                  <w:tcW w:w="1066" w:type="pct"/>
                  <w:tcBorders>
                    <w:tl2br w:val="nil"/>
                    <w:tr2bl w:val="nil"/>
                  </w:tcBorders>
                  <w:vAlign w:val="center"/>
                </w:tcPr>
                <w:p w14:paraId="4A0CDB0C">
                  <w:pPr>
                    <w:jc w:val="center"/>
                    <w:rPr>
                      <w:color w:val="auto"/>
                      <w:szCs w:val="21"/>
                    </w:rPr>
                  </w:pPr>
                  <w:r>
                    <w:rPr>
                      <w:color w:val="auto"/>
                      <w:szCs w:val="21"/>
                    </w:rPr>
                    <w:t>环境风险物质名称</w:t>
                  </w:r>
                </w:p>
              </w:tc>
              <w:tc>
                <w:tcPr>
                  <w:tcW w:w="1413" w:type="pct"/>
                  <w:tcBorders>
                    <w:tl2br w:val="nil"/>
                    <w:tr2bl w:val="nil"/>
                  </w:tcBorders>
                  <w:vAlign w:val="center"/>
                </w:tcPr>
                <w:p w14:paraId="2DDE4664">
                  <w:pPr>
                    <w:jc w:val="center"/>
                    <w:rPr>
                      <w:color w:val="auto"/>
                      <w:szCs w:val="21"/>
                    </w:rPr>
                  </w:pPr>
                  <w:r>
                    <w:rPr>
                      <w:color w:val="auto"/>
                      <w:szCs w:val="21"/>
                    </w:rPr>
                    <w:t>最大存在总量 qn（t）</w:t>
                  </w:r>
                </w:p>
              </w:tc>
              <w:tc>
                <w:tcPr>
                  <w:tcW w:w="1137" w:type="pct"/>
                  <w:tcBorders>
                    <w:tl2br w:val="nil"/>
                    <w:tr2bl w:val="nil"/>
                  </w:tcBorders>
                  <w:vAlign w:val="center"/>
                </w:tcPr>
                <w:p w14:paraId="5395302F">
                  <w:pPr>
                    <w:jc w:val="center"/>
                    <w:rPr>
                      <w:color w:val="auto"/>
                      <w:szCs w:val="21"/>
                    </w:rPr>
                  </w:pPr>
                  <w:r>
                    <w:rPr>
                      <w:color w:val="auto"/>
                      <w:szCs w:val="21"/>
                    </w:rPr>
                    <w:t>临界量 Qn（t）</w:t>
                  </w:r>
                </w:p>
              </w:tc>
              <w:tc>
                <w:tcPr>
                  <w:tcW w:w="915" w:type="pct"/>
                  <w:tcBorders>
                    <w:tl2br w:val="nil"/>
                    <w:tr2bl w:val="nil"/>
                  </w:tcBorders>
                  <w:vAlign w:val="center"/>
                </w:tcPr>
                <w:p w14:paraId="3DD857C3">
                  <w:pPr>
                    <w:jc w:val="center"/>
                    <w:rPr>
                      <w:color w:val="auto"/>
                      <w:szCs w:val="21"/>
                    </w:rPr>
                  </w:pPr>
                  <w:r>
                    <w:rPr>
                      <w:color w:val="auto"/>
                      <w:szCs w:val="21"/>
                    </w:rPr>
                    <w:t>qn/Qn</w:t>
                  </w:r>
                </w:p>
              </w:tc>
            </w:tr>
            <w:tr w14:paraId="6B2E808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467" w:type="pct"/>
                  <w:tcBorders>
                    <w:tl2br w:val="nil"/>
                    <w:tr2bl w:val="nil"/>
                  </w:tcBorders>
                  <w:vAlign w:val="center"/>
                </w:tcPr>
                <w:p w14:paraId="0B66D302">
                  <w:pPr>
                    <w:jc w:val="center"/>
                    <w:rPr>
                      <w:color w:val="auto"/>
                      <w:szCs w:val="21"/>
                    </w:rPr>
                  </w:pPr>
                  <w:r>
                    <w:rPr>
                      <w:color w:val="auto"/>
                      <w:szCs w:val="21"/>
                    </w:rPr>
                    <w:t>1</w:t>
                  </w:r>
                </w:p>
              </w:tc>
              <w:tc>
                <w:tcPr>
                  <w:tcW w:w="1066" w:type="pct"/>
                  <w:tcBorders>
                    <w:tl2br w:val="nil"/>
                    <w:tr2bl w:val="nil"/>
                  </w:tcBorders>
                  <w:vAlign w:val="center"/>
                </w:tcPr>
                <w:p w14:paraId="72DB3531">
                  <w:pPr>
                    <w:jc w:val="center"/>
                    <w:rPr>
                      <w:rFonts w:hint="eastAsia" w:eastAsia="宋体"/>
                      <w:color w:val="auto"/>
                      <w:szCs w:val="21"/>
                      <w:lang w:eastAsia="zh-CN"/>
                    </w:rPr>
                  </w:pPr>
                  <w:r>
                    <w:rPr>
                      <w:rFonts w:hint="eastAsia"/>
                      <w:color w:val="auto"/>
                      <w:szCs w:val="21"/>
                      <w:lang w:eastAsia="zh-CN"/>
                    </w:rPr>
                    <w:t>柴油</w:t>
                  </w:r>
                </w:p>
              </w:tc>
              <w:tc>
                <w:tcPr>
                  <w:tcW w:w="1413" w:type="pct"/>
                  <w:tcBorders>
                    <w:tl2br w:val="nil"/>
                    <w:tr2bl w:val="nil"/>
                  </w:tcBorders>
                  <w:shd w:val="clear" w:color="auto" w:fill="auto"/>
                  <w:vAlign w:val="center"/>
                </w:tcPr>
                <w:p w14:paraId="471BDA01">
                  <w:pPr>
                    <w:jc w:val="center"/>
                    <w:rPr>
                      <w:color w:val="auto"/>
                      <w:szCs w:val="21"/>
                    </w:rPr>
                  </w:pPr>
                  <w:r>
                    <w:rPr>
                      <w:rFonts w:hint="eastAsia"/>
                      <w:color w:val="auto"/>
                      <w:szCs w:val="21"/>
                    </w:rPr>
                    <w:t>1</w:t>
                  </w:r>
                </w:p>
              </w:tc>
              <w:tc>
                <w:tcPr>
                  <w:tcW w:w="1137" w:type="pct"/>
                  <w:tcBorders>
                    <w:tl2br w:val="nil"/>
                    <w:tr2bl w:val="nil"/>
                  </w:tcBorders>
                  <w:vAlign w:val="center"/>
                </w:tcPr>
                <w:p w14:paraId="05A58141">
                  <w:pPr>
                    <w:jc w:val="center"/>
                    <w:rPr>
                      <w:rFonts w:hint="default" w:eastAsia="宋体"/>
                      <w:color w:val="auto"/>
                      <w:szCs w:val="21"/>
                      <w:lang w:val="en-US" w:eastAsia="zh-CN"/>
                    </w:rPr>
                  </w:pPr>
                  <w:r>
                    <w:rPr>
                      <w:rFonts w:hint="eastAsia"/>
                      <w:color w:val="auto"/>
                      <w:szCs w:val="21"/>
                      <w:lang w:val="en-US" w:eastAsia="zh-CN"/>
                    </w:rPr>
                    <w:t>2500</w:t>
                  </w:r>
                </w:p>
              </w:tc>
              <w:tc>
                <w:tcPr>
                  <w:tcW w:w="915" w:type="pct"/>
                  <w:tcBorders>
                    <w:tl2br w:val="nil"/>
                    <w:tr2bl w:val="nil"/>
                  </w:tcBorders>
                  <w:vAlign w:val="center"/>
                </w:tcPr>
                <w:p w14:paraId="30F6F36A">
                  <w:pPr>
                    <w:jc w:val="center"/>
                    <w:rPr>
                      <w:rFonts w:hint="default" w:eastAsia="宋体"/>
                      <w:color w:val="auto"/>
                      <w:szCs w:val="21"/>
                      <w:lang w:val="en-US" w:eastAsia="zh-CN"/>
                    </w:rPr>
                  </w:pPr>
                  <w:r>
                    <w:rPr>
                      <w:rFonts w:hint="eastAsia"/>
                      <w:color w:val="auto"/>
                      <w:szCs w:val="21"/>
                    </w:rPr>
                    <w:t>0.</w:t>
                  </w:r>
                  <w:r>
                    <w:rPr>
                      <w:rFonts w:hint="eastAsia"/>
                      <w:color w:val="auto"/>
                      <w:szCs w:val="21"/>
                      <w:lang w:val="en-US" w:eastAsia="zh-CN"/>
                    </w:rPr>
                    <w:t>0004</w:t>
                  </w:r>
                </w:p>
              </w:tc>
            </w:tr>
          </w:tbl>
          <w:p w14:paraId="5208D357">
            <w:pPr>
              <w:spacing w:line="360" w:lineRule="auto"/>
              <w:ind w:firstLine="480"/>
              <w:rPr>
                <w:color w:val="auto"/>
                <w:sz w:val="24"/>
              </w:rPr>
            </w:pPr>
            <w:r>
              <w:rPr>
                <w:color w:val="auto"/>
                <w:sz w:val="24"/>
              </w:rPr>
              <w:t>根据表 4-9 可知，项目环境风险物质数量与临界量比值（Q）为 Q＜1，判定项目风险潜势为Ⅰ。</w:t>
            </w:r>
          </w:p>
          <w:p w14:paraId="50BD1E7C">
            <w:pPr>
              <w:spacing w:line="360" w:lineRule="auto"/>
              <w:ind w:firstLine="480"/>
              <w:rPr>
                <w:color w:val="auto"/>
                <w:sz w:val="24"/>
              </w:rPr>
            </w:pPr>
            <w:r>
              <w:rPr>
                <w:rFonts w:hint="eastAsia"/>
                <w:color w:val="auto"/>
                <w:sz w:val="24"/>
                <w:lang w:val="en-US" w:eastAsia="zh-CN"/>
              </w:rPr>
              <w:t>6</w:t>
            </w:r>
            <w:r>
              <w:rPr>
                <w:color w:val="auto"/>
                <w:sz w:val="24"/>
              </w:rPr>
              <w:t>.2.2风险评价等级及评价范围</w:t>
            </w:r>
          </w:p>
          <w:p w14:paraId="4FB95C87">
            <w:pPr>
              <w:spacing w:line="360" w:lineRule="auto"/>
              <w:ind w:firstLine="480"/>
              <w:rPr>
                <w:color w:val="auto"/>
                <w:sz w:val="24"/>
              </w:rPr>
            </w:pPr>
            <w:r>
              <w:rPr>
                <w:rFonts w:hint="eastAsia"/>
                <w:color w:val="auto"/>
                <w:sz w:val="24"/>
                <w:lang w:val="en-US" w:eastAsia="zh-CN"/>
              </w:rPr>
              <w:t>6</w:t>
            </w:r>
            <w:r>
              <w:rPr>
                <w:color w:val="auto"/>
                <w:sz w:val="24"/>
              </w:rPr>
              <w:t>.2.2.1风险评价等级</w:t>
            </w:r>
          </w:p>
          <w:p w14:paraId="213E3E37">
            <w:pPr>
              <w:spacing w:line="360" w:lineRule="auto"/>
              <w:ind w:firstLine="480"/>
              <w:rPr>
                <w:color w:val="auto"/>
                <w:sz w:val="24"/>
              </w:rPr>
            </w:pPr>
            <w:r>
              <w:rPr>
                <w:color w:val="auto"/>
                <w:sz w:val="24"/>
              </w:rPr>
              <w:t>根据环境风险潜势划分结果，拟建项目环境风险评价工作等级判定见表4-</w:t>
            </w:r>
            <w:r>
              <w:rPr>
                <w:rFonts w:hint="eastAsia"/>
                <w:color w:val="auto"/>
                <w:sz w:val="24"/>
                <w:lang w:val="en-US" w:eastAsia="zh-CN"/>
              </w:rPr>
              <w:t>6</w:t>
            </w:r>
            <w:r>
              <w:rPr>
                <w:color w:val="auto"/>
                <w:sz w:val="24"/>
              </w:rPr>
              <w:t>。</w:t>
            </w:r>
          </w:p>
          <w:p w14:paraId="508BB859">
            <w:pPr>
              <w:pStyle w:val="7"/>
              <w:spacing w:after="0" w:line="360" w:lineRule="auto"/>
              <w:jc w:val="center"/>
              <w:rPr>
                <w:b/>
                <w:bCs/>
                <w:color w:val="auto"/>
                <w:szCs w:val="21"/>
              </w:rPr>
            </w:pPr>
            <w:r>
              <w:rPr>
                <w:b/>
                <w:bCs/>
                <w:color w:val="auto"/>
                <w:szCs w:val="21"/>
              </w:rPr>
              <w:t>表 4-</w:t>
            </w:r>
            <w:r>
              <w:rPr>
                <w:rFonts w:hint="eastAsia"/>
                <w:b/>
                <w:bCs/>
                <w:color w:val="auto"/>
                <w:szCs w:val="21"/>
                <w:lang w:val="en-US" w:eastAsia="zh-CN"/>
              </w:rPr>
              <w:t>6</w:t>
            </w:r>
            <w:r>
              <w:rPr>
                <w:b/>
                <w:bCs/>
                <w:color w:val="auto"/>
                <w:szCs w:val="21"/>
              </w:rPr>
              <w:t xml:space="preserve">    项目环境风险评价等级划分一览表</w:t>
            </w:r>
          </w:p>
          <w:tbl>
            <w:tblPr>
              <w:tblStyle w:val="19"/>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626"/>
              <w:gridCol w:w="1628"/>
              <w:gridCol w:w="1626"/>
              <w:gridCol w:w="1625"/>
              <w:gridCol w:w="1630"/>
            </w:tblGrid>
            <w:tr w14:paraId="709BA47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74" w:hRule="atLeast"/>
              </w:trPr>
              <w:tc>
                <w:tcPr>
                  <w:tcW w:w="999" w:type="pct"/>
                  <w:tcBorders>
                    <w:tl2br w:val="nil"/>
                    <w:tr2bl w:val="nil"/>
                  </w:tcBorders>
                  <w:vAlign w:val="center"/>
                </w:tcPr>
                <w:p w14:paraId="1EE6C3D9">
                  <w:pPr>
                    <w:jc w:val="center"/>
                    <w:rPr>
                      <w:color w:val="auto"/>
                      <w:szCs w:val="21"/>
                    </w:rPr>
                  </w:pPr>
                  <w:r>
                    <w:rPr>
                      <w:color w:val="auto"/>
                      <w:szCs w:val="21"/>
                    </w:rPr>
                    <w:t>环境风险潜势</w:t>
                  </w:r>
                </w:p>
              </w:tc>
              <w:tc>
                <w:tcPr>
                  <w:tcW w:w="1000" w:type="pct"/>
                  <w:tcBorders>
                    <w:tl2br w:val="nil"/>
                    <w:tr2bl w:val="nil"/>
                  </w:tcBorders>
                  <w:vAlign w:val="center"/>
                </w:tcPr>
                <w:p w14:paraId="7B18E37D">
                  <w:pPr>
                    <w:jc w:val="center"/>
                    <w:rPr>
                      <w:color w:val="auto"/>
                      <w:szCs w:val="21"/>
                    </w:rPr>
                  </w:pPr>
                  <w:r>
                    <w:rPr>
                      <w:color w:val="auto"/>
                      <w:szCs w:val="21"/>
                    </w:rPr>
                    <w:t>IV</w:t>
                  </w:r>
                  <w:r>
                    <w:rPr>
                      <w:color w:val="auto"/>
                      <w:szCs w:val="21"/>
                      <w:vertAlign w:val="superscript"/>
                    </w:rPr>
                    <w:t>+</w:t>
                  </w:r>
                  <w:r>
                    <w:rPr>
                      <w:color w:val="auto"/>
                      <w:szCs w:val="21"/>
                    </w:rPr>
                    <w:t xml:space="preserve"> IV</w:t>
                  </w:r>
                </w:p>
              </w:tc>
              <w:tc>
                <w:tcPr>
                  <w:tcW w:w="999" w:type="pct"/>
                  <w:tcBorders>
                    <w:tl2br w:val="nil"/>
                    <w:tr2bl w:val="nil"/>
                  </w:tcBorders>
                  <w:vAlign w:val="center"/>
                </w:tcPr>
                <w:p w14:paraId="72C922B8">
                  <w:pPr>
                    <w:jc w:val="center"/>
                    <w:rPr>
                      <w:color w:val="auto"/>
                      <w:szCs w:val="21"/>
                    </w:rPr>
                  </w:pPr>
                  <w:r>
                    <w:rPr>
                      <w:color w:val="auto"/>
                      <w:szCs w:val="21"/>
                    </w:rPr>
                    <w:t>III</w:t>
                  </w:r>
                </w:p>
              </w:tc>
              <w:tc>
                <w:tcPr>
                  <w:tcW w:w="999" w:type="pct"/>
                  <w:tcBorders>
                    <w:tl2br w:val="nil"/>
                    <w:tr2bl w:val="nil"/>
                  </w:tcBorders>
                  <w:vAlign w:val="center"/>
                </w:tcPr>
                <w:p w14:paraId="7CD2EADF">
                  <w:pPr>
                    <w:jc w:val="center"/>
                    <w:rPr>
                      <w:color w:val="auto"/>
                      <w:szCs w:val="21"/>
                    </w:rPr>
                  </w:pPr>
                  <w:r>
                    <w:rPr>
                      <w:color w:val="auto"/>
                      <w:szCs w:val="21"/>
                    </w:rPr>
                    <w:t>II</w:t>
                  </w:r>
                </w:p>
              </w:tc>
              <w:tc>
                <w:tcPr>
                  <w:tcW w:w="1000" w:type="pct"/>
                  <w:tcBorders>
                    <w:tl2br w:val="nil"/>
                    <w:tr2bl w:val="nil"/>
                  </w:tcBorders>
                  <w:vAlign w:val="center"/>
                </w:tcPr>
                <w:p w14:paraId="5EB786C4">
                  <w:pPr>
                    <w:jc w:val="center"/>
                    <w:rPr>
                      <w:color w:val="auto"/>
                      <w:szCs w:val="21"/>
                    </w:rPr>
                  </w:pPr>
                  <w:r>
                    <w:rPr>
                      <w:color w:val="auto"/>
                      <w:szCs w:val="21"/>
                    </w:rPr>
                    <w:t>I</w:t>
                  </w:r>
                </w:p>
              </w:tc>
            </w:tr>
            <w:tr w14:paraId="6C4AB3D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999" w:type="pct"/>
                  <w:tcBorders>
                    <w:tl2br w:val="nil"/>
                    <w:tr2bl w:val="nil"/>
                  </w:tcBorders>
                  <w:vAlign w:val="center"/>
                </w:tcPr>
                <w:p w14:paraId="44590110">
                  <w:pPr>
                    <w:jc w:val="center"/>
                    <w:rPr>
                      <w:color w:val="auto"/>
                      <w:szCs w:val="21"/>
                    </w:rPr>
                  </w:pPr>
                  <w:r>
                    <w:rPr>
                      <w:color w:val="auto"/>
                      <w:szCs w:val="21"/>
                    </w:rPr>
                    <w:t>评价工作等级</w:t>
                  </w:r>
                </w:p>
              </w:tc>
              <w:tc>
                <w:tcPr>
                  <w:tcW w:w="1000" w:type="pct"/>
                  <w:tcBorders>
                    <w:tl2br w:val="nil"/>
                    <w:tr2bl w:val="nil"/>
                  </w:tcBorders>
                  <w:vAlign w:val="center"/>
                </w:tcPr>
                <w:p w14:paraId="7D898D94">
                  <w:pPr>
                    <w:jc w:val="center"/>
                    <w:rPr>
                      <w:color w:val="auto"/>
                      <w:szCs w:val="21"/>
                    </w:rPr>
                  </w:pPr>
                  <w:r>
                    <w:rPr>
                      <w:color w:val="auto"/>
                      <w:szCs w:val="21"/>
                    </w:rPr>
                    <w:t>一</w:t>
                  </w:r>
                </w:p>
              </w:tc>
              <w:tc>
                <w:tcPr>
                  <w:tcW w:w="999" w:type="pct"/>
                  <w:tcBorders>
                    <w:tl2br w:val="nil"/>
                    <w:tr2bl w:val="nil"/>
                  </w:tcBorders>
                  <w:vAlign w:val="center"/>
                </w:tcPr>
                <w:p w14:paraId="1E7140E6">
                  <w:pPr>
                    <w:jc w:val="center"/>
                    <w:rPr>
                      <w:color w:val="auto"/>
                      <w:szCs w:val="21"/>
                    </w:rPr>
                  </w:pPr>
                  <w:r>
                    <w:rPr>
                      <w:color w:val="auto"/>
                      <w:szCs w:val="21"/>
                    </w:rPr>
                    <w:t>二</w:t>
                  </w:r>
                </w:p>
              </w:tc>
              <w:tc>
                <w:tcPr>
                  <w:tcW w:w="999" w:type="pct"/>
                  <w:tcBorders>
                    <w:tl2br w:val="nil"/>
                    <w:tr2bl w:val="nil"/>
                  </w:tcBorders>
                  <w:vAlign w:val="center"/>
                </w:tcPr>
                <w:p w14:paraId="0CB26EB6">
                  <w:pPr>
                    <w:jc w:val="center"/>
                    <w:rPr>
                      <w:color w:val="auto"/>
                      <w:szCs w:val="21"/>
                    </w:rPr>
                  </w:pPr>
                  <w:r>
                    <w:rPr>
                      <w:color w:val="auto"/>
                      <w:szCs w:val="21"/>
                    </w:rPr>
                    <w:t>三</w:t>
                  </w:r>
                </w:p>
              </w:tc>
              <w:tc>
                <w:tcPr>
                  <w:tcW w:w="1000" w:type="pct"/>
                  <w:tcBorders>
                    <w:tl2br w:val="nil"/>
                    <w:tr2bl w:val="nil"/>
                  </w:tcBorders>
                  <w:vAlign w:val="center"/>
                </w:tcPr>
                <w:p w14:paraId="08BEEBC6">
                  <w:pPr>
                    <w:jc w:val="center"/>
                    <w:rPr>
                      <w:color w:val="auto"/>
                      <w:szCs w:val="21"/>
                    </w:rPr>
                  </w:pPr>
                  <w:r>
                    <w:rPr>
                      <w:color w:val="auto"/>
                      <w:szCs w:val="21"/>
                    </w:rPr>
                    <w:t>简单分析</w:t>
                  </w:r>
                </w:p>
              </w:tc>
            </w:tr>
            <w:tr w14:paraId="088848C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999" w:type="pct"/>
                  <w:tcBorders>
                    <w:tl2br w:val="nil"/>
                    <w:tr2bl w:val="nil"/>
                  </w:tcBorders>
                  <w:vAlign w:val="center"/>
                </w:tcPr>
                <w:p w14:paraId="680B58A1">
                  <w:pPr>
                    <w:jc w:val="center"/>
                    <w:rPr>
                      <w:color w:val="auto"/>
                      <w:szCs w:val="21"/>
                    </w:rPr>
                  </w:pPr>
                  <w:r>
                    <w:rPr>
                      <w:color w:val="auto"/>
                      <w:szCs w:val="21"/>
                    </w:rPr>
                    <w:t>本项目</w:t>
                  </w:r>
                </w:p>
              </w:tc>
              <w:tc>
                <w:tcPr>
                  <w:tcW w:w="4000" w:type="pct"/>
                  <w:gridSpan w:val="4"/>
                  <w:tcBorders>
                    <w:tl2br w:val="nil"/>
                    <w:tr2bl w:val="nil"/>
                  </w:tcBorders>
                  <w:vAlign w:val="center"/>
                </w:tcPr>
                <w:p w14:paraId="4089DF27">
                  <w:pPr>
                    <w:jc w:val="center"/>
                    <w:rPr>
                      <w:color w:val="auto"/>
                      <w:szCs w:val="21"/>
                    </w:rPr>
                  </w:pPr>
                  <w:r>
                    <w:rPr>
                      <w:color w:val="auto"/>
                      <w:szCs w:val="21"/>
                    </w:rPr>
                    <w:t>建项目环境风险潜势为 I，进行简单分析</w:t>
                  </w:r>
                </w:p>
              </w:tc>
            </w:tr>
          </w:tbl>
          <w:p w14:paraId="7BB61602">
            <w:pPr>
              <w:spacing w:line="360" w:lineRule="auto"/>
              <w:ind w:firstLine="480"/>
              <w:rPr>
                <w:color w:val="auto"/>
                <w:sz w:val="24"/>
              </w:rPr>
            </w:pPr>
            <w:r>
              <w:rPr>
                <w:rFonts w:hint="eastAsia"/>
                <w:color w:val="auto"/>
                <w:sz w:val="24"/>
                <w:lang w:val="en-US" w:eastAsia="zh-CN"/>
              </w:rPr>
              <w:t>6</w:t>
            </w:r>
            <w:r>
              <w:rPr>
                <w:color w:val="auto"/>
                <w:sz w:val="24"/>
              </w:rPr>
              <w:t>.2.3.2 风险评价范围</w:t>
            </w:r>
          </w:p>
          <w:p w14:paraId="1E5CA01E">
            <w:pPr>
              <w:spacing w:line="360" w:lineRule="auto"/>
              <w:ind w:firstLine="480"/>
              <w:rPr>
                <w:color w:val="auto"/>
                <w:sz w:val="24"/>
              </w:rPr>
            </w:pPr>
            <w:r>
              <w:rPr>
                <w:color w:val="auto"/>
                <w:sz w:val="24"/>
              </w:rPr>
              <w:t>根据《建设项目环境风险评价技术导则》（HJ169-2018）、《环境影响评价技术导则 地表水环境》（HJ2.3-2018）、《环境影响评价技术导则 地下水环境》（HJ610-2016）及项目工程分析，拟建项目各要素风险评价范围见表 4-</w:t>
            </w:r>
            <w:r>
              <w:rPr>
                <w:rFonts w:hint="eastAsia"/>
                <w:color w:val="auto"/>
                <w:sz w:val="24"/>
                <w:lang w:val="en-US" w:eastAsia="zh-CN"/>
              </w:rPr>
              <w:t>7</w:t>
            </w:r>
            <w:r>
              <w:rPr>
                <w:color w:val="auto"/>
                <w:sz w:val="24"/>
              </w:rPr>
              <w:t>。</w:t>
            </w:r>
          </w:p>
          <w:p w14:paraId="2EC87202">
            <w:pPr>
              <w:pStyle w:val="7"/>
              <w:spacing w:after="0" w:line="360" w:lineRule="auto"/>
              <w:jc w:val="center"/>
              <w:rPr>
                <w:b/>
                <w:bCs/>
                <w:color w:val="auto"/>
                <w:szCs w:val="21"/>
              </w:rPr>
            </w:pPr>
            <w:r>
              <w:rPr>
                <w:b/>
                <w:bCs/>
                <w:color w:val="auto"/>
                <w:szCs w:val="21"/>
              </w:rPr>
              <w:t>表 4-</w:t>
            </w:r>
            <w:r>
              <w:rPr>
                <w:rFonts w:hint="eastAsia"/>
                <w:b/>
                <w:bCs/>
                <w:color w:val="auto"/>
                <w:szCs w:val="21"/>
                <w:lang w:val="en-US" w:eastAsia="zh-CN"/>
              </w:rPr>
              <w:t>7</w:t>
            </w:r>
            <w:r>
              <w:rPr>
                <w:b/>
                <w:bCs/>
                <w:color w:val="auto"/>
                <w:szCs w:val="21"/>
              </w:rPr>
              <w:t xml:space="preserve">    项目环境风险评价范围一览表</w:t>
            </w:r>
          </w:p>
          <w:tbl>
            <w:tblPr>
              <w:tblStyle w:val="19"/>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2033"/>
              <w:gridCol w:w="2033"/>
              <w:gridCol w:w="2034"/>
              <w:gridCol w:w="2035"/>
            </w:tblGrid>
            <w:tr w14:paraId="317DF6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49" w:type="pct"/>
                  <w:tcBorders>
                    <w:tl2br w:val="nil"/>
                    <w:tr2bl w:val="nil"/>
                  </w:tcBorders>
                  <w:vAlign w:val="center"/>
                </w:tcPr>
                <w:p w14:paraId="059955F1">
                  <w:pPr>
                    <w:jc w:val="center"/>
                    <w:rPr>
                      <w:color w:val="auto"/>
                      <w:szCs w:val="21"/>
                    </w:rPr>
                  </w:pPr>
                  <w:r>
                    <w:rPr>
                      <w:color w:val="auto"/>
                      <w:szCs w:val="21"/>
                    </w:rPr>
                    <w:t>环境要素</w:t>
                  </w:r>
                </w:p>
              </w:tc>
              <w:tc>
                <w:tcPr>
                  <w:tcW w:w="1249" w:type="pct"/>
                  <w:tcBorders>
                    <w:tl2br w:val="nil"/>
                    <w:tr2bl w:val="nil"/>
                  </w:tcBorders>
                  <w:vAlign w:val="center"/>
                </w:tcPr>
                <w:p w14:paraId="466DB3C5">
                  <w:pPr>
                    <w:jc w:val="center"/>
                    <w:rPr>
                      <w:color w:val="auto"/>
                      <w:szCs w:val="21"/>
                    </w:rPr>
                  </w:pPr>
                  <w:r>
                    <w:rPr>
                      <w:color w:val="auto"/>
                      <w:szCs w:val="21"/>
                    </w:rPr>
                    <w:t>大气环境</w:t>
                  </w:r>
                </w:p>
              </w:tc>
              <w:tc>
                <w:tcPr>
                  <w:tcW w:w="1249" w:type="pct"/>
                  <w:tcBorders>
                    <w:tl2br w:val="nil"/>
                    <w:tr2bl w:val="nil"/>
                  </w:tcBorders>
                  <w:vAlign w:val="center"/>
                </w:tcPr>
                <w:p w14:paraId="34733364">
                  <w:pPr>
                    <w:jc w:val="center"/>
                    <w:rPr>
                      <w:color w:val="auto"/>
                      <w:szCs w:val="21"/>
                    </w:rPr>
                  </w:pPr>
                  <w:r>
                    <w:rPr>
                      <w:color w:val="auto"/>
                      <w:szCs w:val="21"/>
                    </w:rPr>
                    <w:t>地表水</w:t>
                  </w:r>
                </w:p>
              </w:tc>
              <w:tc>
                <w:tcPr>
                  <w:tcW w:w="1250" w:type="pct"/>
                  <w:tcBorders>
                    <w:tl2br w:val="nil"/>
                    <w:tr2bl w:val="nil"/>
                  </w:tcBorders>
                  <w:vAlign w:val="center"/>
                </w:tcPr>
                <w:p w14:paraId="4249DF5E">
                  <w:pPr>
                    <w:jc w:val="center"/>
                    <w:rPr>
                      <w:color w:val="auto"/>
                      <w:szCs w:val="21"/>
                    </w:rPr>
                  </w:pPr>
                  <w:r>
                    <w:rPr>
                      <w:color w:val="auto"/>
                      <w:szCs w:val="21"/>
                    </w:rPr>
                    <w:t>地下水</w:t>
                  </w:r>
                </w:p>
              </w:tc>
            </w:tr>
            <w:tr w14:paraId="6D8867A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49" w:type="pct"/>
                  <w:tcBorders>
                    <w:tl2br w:val="nil"/>
                    <w:tr2bl w:val="nil"/>
                  </w:tcBorders>
                  <w:vAlign w:val="center"/>
                </w:tcPr>
                <w:p w14:paraId="0DB194EE">
                  <w:pPr>
                    <w:jc w:val="center"/>
                    <w:rPr>
                      <w:color w:val="auto"/>
                      <w:szCs w:val="21"/>
                    </w:rPr>
                  </w:pPr>
                  <w:r>
                    <w:rPr>
                      <w:color w:val="auto"/>
                      <w:szCs w:val="21"/>
                    </w:rPr>
                    <w:t>评价工作等级</w:t>
                  </w:r>
                </w:p>
              </w:tc>
              <w:tc>
                <w:tcPr>
                  <w:tcW w:w="1249" w:type="pct"/>
                  <w:tcBorders>
                    <w:tl2br w:val="nil"/>
                    <w:tr2bl w:val="nil"/>
                  </w:tcBorders>
                  <w:vAlign w:val="center"/>
                </w:tcPr>
                <w:p w14:paraId="10B50A8F">
                  <w:pPr>
                    <w:jc w:val="center"/>
                    <w:rPr>
                      <w:color w:val="auto"/>
                      <w:szCs w:val="21"/>
                    </w:rPr>
                  </w:pPr>
                  <w:r>
                    <w:rPr>
                      <w:color w:val="auto"/>
                      <w:szCs w:val="21"/>
                    </w:rPr>
                    <w:t>简单分析</w:t>
                  </w:r>
                </w:p>
              </w:tc>
              <w:tc>
                <w:tcPr>
                  <w:tcW w:w="1249" w:type="pct"/>
                  <w:tcBorders>
                    <w:tl2br w:val="nil"/>
                    <w:tr2bl w:val="nil"/>
                  </w:tcBorders>
                  <w:vAlign w:val="center"/>
                </w:tcPr>
                <w:p w14:paraId="23A07B7F">
                  <w:pPr>
                    <w:jc w:val="center"/>
                    <w:rPr>
                      <w:color w:val="auto"/>
                      <w:szCs w:val="21"/>
                    </w:rPr>
                  </w:pPr>
                  <w:r>
                    <w:rPr>
                      <w:color w:val="auto"/>
                      <w:szCs w:val="21"/>
                    </w:rPr>
                    <w:t>简单分析</w:t>
                  </w:r>
                </w:p>
              </w:tc>
              <w:tc>
                <w:tcPr>
                  <w:tcW w:w="1250" w:type="pct"/>
                  <w:tcBorders>
                    <w:tl2br w:val="nil"/>
                    <w:tr2bl w:val="nil"/>
                  </w:tcBorders>
                  <w:vAlign w:val="center"/>
                </w:tcPr>
                <w:p w14:paraId="12F02D24">
                  <w:pPr>
                    <w:jc w:val="center"/>
                    <w:rPr>
                      <w:color w:val="auto"/>
                      <w:szCs w:val="21"/>
                    </w:rPr>
                  </w:pPr>
                  <w:r>
                    <w:rPr>
                      <w:color w:val="auto"/>
                      <w:szCs w:val="21"/>
                    </w:rPr>
                    <w:t>简单分析</w:t>
                  </w:r>
                </w:p>
              </w:tc>
            </w:tr>
            <w:tr w14:paraId="577AC36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49" w:type="pct"/>
                  <w:tcBorders>
                    <w:tl2br w:val="nil"/>
                    <w:tr2bl w:val="nil"/>
                  </w:tcBorders>
                  <w:vAlign w:val="center"/>
                </w:tcPr>
                <w:p w14:paraId="065866F3">
                  <w:pPr>
                    <w:jc w:val="center"/>
                    <w:rPr>
                      <w:color w:val="auto"/>
                      <w:szCs w:val="21"/>
                    </w:rPr>
                  </w:pPr>
                  <w:r>
                    <w:rPr>
                      <w:color w:val="auto"/>
                      <w:szCs w:val="21"/>
                    </w:rPr>
                    <w:t>评价范围</w:t>
                  </w:r>
                </w:p>
              </w:tc>
              <w:tc>
                <w:tcPr>
                  <w:tcW w:w="1249" w:type="pct"/>
                  <w:tcBorders>
                    <w:tl2br w:val="nil"/>
                    <w:tr2bl w:val="nil"/>
                  </w:tcBorders>
                  <w:vAlign w:val="center"/>
                </w:tcPr>
                <w:p w14:paraId="72851C1D">
                  <w:pPr>
                    <w:jc w:val="center"/>
                    <w:rPr>
                      <w:color w:val="auto"/>
                      <w:szCs w:val="21"/>
                    </w:rPr>
                  </w:pPr>
                  <w:r>
                    <w:rPr>
                      <w:color w:val="auto"/>
                      <w:szCs w:val="21"/>
                    </w:rPr>
                    <w:t>/</w:t>
                  </w:r>
                </w:p>
              </w:tc>
              <w:tc>
                <w:tcPr>
                  <w:tcW w:w="1249" w:type="pct"/>
                  <w:tcBorders>
                    <w:tl2br w:val="nil"/>
                    <w:tr2bl w:val="nil"/>
                  </w:tcBorders>
                  <w:vAlign w:val="center"/>
                </w:tcPr>
                <w:p w14:paraId="004DFB13">
                  <w:pPr>
                    <w:jc w:val="center"/>
                    <w:rPr>
                      <w:color w:val="auto"/>
                      <w:szCs w:val="21"/>
                    </w:rPr>
                  </w:pPr>
                  <w:r>
                    <w:rPr>
                      <w:color w:val="auto"/>
                      <w:szCs w:val="21"/>
                    </w:rPr>
                    <w:t>/</w:t>
                  </w:r>
                </w:p>
              </w:tc>
              <w:tc>
                <w:tcPr>
                  <w:tcW w:w="1250" w:type="pct"/>
                  <w:tcBorders>
                    <w:tl2br w:val="nil"/>
                    <w:tr2bl w:val="nil"/>
                  </w:tcBorders>
                  <w:vAlign w:val="center"/>
                </w:tcPr>
                <w:p w14:paraId="52084750">
                  <w:pPr>
                    <w:jc w:val="center"/>
                    <w:rPr>
                      <w:color w:val="auto"/>
                      <w:szCs w:val="21"/>
                    </w:rPr>
                  </w:pPr>
                  <w:r>
                    <w:rPr>
                      <w:color w:val="auto"/>
                      <w:szCs w:val="21"/>
                    </w:rPr>
                    <w:t>/</w:t>
                  </w:r>
                </w:p>
              </w:tc>
            </w:tr>
          </w:tbl>
          <w:p w14:paraId="2D23551B">
            <w:pPr>
              <w:spacing w:line="360" w:lineRule="auto"/>
              <w:ind w:firstLine="480"/>
              <w:rPr>
                <w:color w:val="auto"/>
                <w:sz w:val="24"/>
              </w:rPr>
            </w:pPr>
            <w:r>
              <w:rPr>
                <w:rFonts w:hint="eastAsia"/>
                <w:color w:val="auto"/>
                <w:sz w:val="24"/>
                <w:lang w:val="en-US" w:eastAsia="zh-CN"/>
              </w:rPr>
              <w:t>6</w:t>
            </w:r>
            <w:r>
              <w:rPr>
                <w:color w:val="auto"/>
                <w:sz w:val="24"/>
              </w:rPr>
              <w:t>.3风险识别</w:t>
            </w:r>
          </w:p>
          <w:p w14:paraId="57ACA50F">
            <w:pPr>
              <w:spacing w:line="360" w:lineRule="auto"/>
              <w:ind w:firstLine="480"/>
              <w:rPr>
                <w:color w:val="auto"/>
                <w:sz w:val="24"/>
              </w:rPr>
            </w:pPr>
            <w:r>
              <w:rPr>
                <w:rFonts w:hint="eastAsia"/>
                <w:color w:val="auto"/>
                <w:sz w:val="24"/>
                <w:lang w:val="en-US" w:eastAsia="zh-CN"/>
              </w:rPr>
              <w:t>6</w:t>
            </w:r>
            <w:r>
              <w:rPr>
                <w:color w:val="auto"/>
                <w:sz w:val="24"/>
              </w:rPr>
              <w:t>.3.1工程潜在危险性识别</w:t>
            </w:r>
          </w:p>
          <w:p w14:paraId="687435A5">
            <w:pPr>
              <w:spacing w:line="360" w:lineRule="auto"/>
              <w:ind w:firstLine="480"/>
              <w:rPr>
                <w:color w:val="auto"/>
                <w:sz w:val="24"/>
              </w:rPr>
            </w:pPr>
            <w:r>
              <w:rPr>
                <w:color w:val="auto"/>
                <w:sz w:val="24"/>
              </w:rPr>
              <w:t>根据本项目工程特点，项目涉及的危险单元主要为</w:t>
            </w:r>
            <w:r>
              <w:rPr>
                <w:rFonts w:hint="eastAsia"/>
                <w:color w:val="auto"/>
                <w:sz w:val="24"/>
                <w:lang w:val="en-US" w:eastAsia="zh-CN"/>
              </w:rPr>
              <w:t>无轨胶轮车加油场地</w:t>
            </w:r>
            <w:r>
              <w:rPr>
                <w:color w:val="auto"/>
                <w:sz w:val="24"/>
              </w:rPr>
              <w:t>。在运营过程中，</w:t>
            </w:r>
            <w:r>
              <w:rPr>
                <w:rFonts w:hint="eastAsia"/>
                <w:color w:val="auto"/>
                <w:sz w:val="24"/>
                <w:lang w:val="en-US" w:eastAsia="zh-CN"/>
              </w:rPr>
              <w:t>无轨胶轮车加油场地</w:t>
            </w:r>
            <w:r>
              <w:rPr>
                <w:color w:val="auto"/>
                <w:sz w:val="24"/>
              </w:rPr>
              <w:t>可能发生的危险因素分析见表4-</w:t>
            </w:r>
            <w:r>
              <w:rPr>
                <w:rFonts w:hint="eastAsia"/>
                <w:color w:val="auto"/>
                <w:sz w:val="24"/>
                <w:lang w:val="en-US" w:eastAsia="zh-CN"/>
              </w:rPr>
              <w:t>8</w:t>
            </w:r>
            <w:r>
              <w:rPr>
                <w:color w:val="auto"/>
                <w:sz w:val="24"/>
              </w:rPr>
              <w:t>。</w:t>
            </w:r>
          </w:p>
          <w:p w14:paraId="181C3207">
            <w:pPr>
              <w:pStyle w:val="7"/>
              <w:spacing w:after="0" w:line="360" w:lineRule="auto"/>
              <w:jc w:val="center"/>
              <w:rPr>
                <w:b/>
                <w:bCs/>
                <w:color w:val="auto"/>
                <w:szCs w:val="21"/>
              </w:rPr>
            </w:pPr>
            <w:r>
              <w:rPr>
                <w:rFonts w:hint="eastAsia"/>
                <w:b/>
                <w:bCs/>
                <w:color w:val="auto"/>
                <w:szCs w:val="21"/>
              </w:rPr>
              <w:t>表</w:t>
            </w:r>
            <w:r>
              <w:rPr>
                <w:rFonts w:hint="eastAsia"/>
                <w:b/>
                <w:bCs/>
                <w:color w:val="auto"/>
                <w:szCs w:val="21"/>
                <w:lang w:val="en-US" w:eastAsia="zh-CN"/>
              </w:rPr>
              <w:t>4-8</w:t>
            </w:r>
            <w:r>
              <w:rPr>
                <w:rFonts w:hint="eastAsia"/>
                <w:b/>
                <w:bCs/>
                <w:color w:val="auto"/>
                <w:szCs w:val="21"/>
              </w:rPr>
              <w:t xml:space="preserve">    生产过程主要风险因素分析</w:t>
            </w:r>
          </w:p>
          <w:tbl>
            <w:tblPr>
              <w:tblStyle w:val="19"/>
              <w:tblW w:w="8199"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184"/>
              <w:gridCol w:w="6006"/>
            </w:tblGrid>
            <w:tr w14:paraId="2BF419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009" w:type="dxa"/>
                  <w:tcBorders>
                    <w:tl2br w:val="nil"/>
                    <w:tr2bl w:val="nil"/>
                  </w:tcBorders>
                  <w:vAlign w:val="center"/>
                </w:tcPr>
                <w:p w14:paraId="3BB5510D">
                  <w:pPr>
                    <w:jc w:val="center"/>
                    <w:rPr>
                      <w:color w:val="auto"/>
                      <w:szCs w:val="21"/>
                    </w:rPr>
                  </w:pPr>
                  <w:r>
                    <w:rPr>
                      <w:rFonts w:hint="eastAsia"/>
                      <w:color w:val="auto"/>
                      <w:szCs w:val="21"/>
                    </w:rPr>
                    <w:t>事故环节</w:t>
                  </w:r>
                </w:p>
              </w:tc>
              <w:tc>
                <w:tcPr>
                  <w:tcW w:w="1184" w:type="dxa"/>
                  <w:tcBorders>
                    <w:tl2br w:val="nil"/>
                    <w:tr2bl w:val="nil"/>
                  </w:tcBorders>
                  <w:vAlign w:val="center"/>
                </w:tcPr>
                <w:p w14:paraId="59D359A5">
                  <w:pPr>
                    <w:jc w:val="center"/>
                    <w:rPr>
                      <w:color w:val="auto"/>
                      <w:szCs w:val="21"/>
                    </w:rPr>
                  </w:pPr>
                  <w:r>
                    <w:rPr>
                      <w:rFonts w:hint="eastAsia"/>
                      <w:color w:val="auto"/>
                      <w:szCs w:val="21"/>
                    </w:rPr>
                    <w:t>类型</w:t>
                  </w:r>
                </w:p>
              </w:tc>
              <w:tc>
                <w:tcPr>
                  <w:tcW w:w="6006" w:type="dxa"/>
                  <w:tcBorders>
                    <w:tl2br w:val="nil"/>
                    <w:tr2bl w:val="nil"/>
                  </w:tcBorders>
                  <w:vAlign w:val="center"/>
                </w:tcPr>
                <w:p w14:paraId="2381C1E0">
                  <w:pPr>
                    <w:jc w:val="center"/>
                    <w:rPr>
                      <w:color w:val="auto"/>
                      <w:szCs w:val="21"/>
                    </w:rPr>
                  </w:pPr>
                  <w:r>
                    <w:rPr>
                      <w:rFonts w:hint="eastAsia"/>
                      <w:color w:val="auto"/>
                      <w:szCs w:val="21"/>
                    </w:rPr>
                    <w:t>事故原因</w:t>
                  </w:r>
                </w:p>
              </w:tc>
            </w:tr>
            <w:tr w14:paraId="2B1808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009" w:type="dxa"/>
                  <w:vMerge w:val="restart"/>
                  <w:tcBorders>
                    <w:tl2br w:val="nil"/>
                    <w:tr2bl w:val="nil"/>
                  </w:tcBorders>
                  <w:vAlign w:val="center"/>
                </w:tcPr>
                <w:p w14:paraId="5B7642C3">
                  <w:pPr>
                    <w:jc w:val="center"/>
                    <w:rPr>
                      <w:color w:val="auto"/>
                      <w:szCs w:val="21"/>
                    </w:rPr>
                  </w:pPr>
                  <w:r>
                    <w:rPr>
                      <w:rFonts w:hint="eastAsia"/>
                      <w:color w:val="auto"/>
                      <w:szCs w:val="21"/>
                    </w:rPr>
                    <w:t>储存</w:t>
                  </w:r>
                </w:p>
              </w:tc>
              <w:tc>
                <w:tcPr>
                  <w:tcW w:w="1184" w:type="dxa"/>
                  <w:tcBorders>
                    <w:tl2br w:val="nil"/>
                    <w:tr2bl w:val="nil"/>
                  </w:tcBorders>
                  <w:vAlign w:val="center"/>
                </w:tcPr>
                <w:p w14:paraId="3ACAB536">
                  <w:pPr>
                    <w:jc w:val="center"/>
                    <w:rPr>
                      <w:color w:val="auto"/>
                      <w:szCs w:val="21"/>
                    </w:rPr>
                  </w:pPr>
                  <w:r>
                    <w:rPr>
                      <w:rFonts w:hint="eastAsia"/>
                      <w:color w:val="auto"/>
                      <w:szCs w:val="21"/>
                    </w:rPr>
                    <w:t>泄漏</w:t>
                  </w:r>
                </w:p>
              </w:tc>
              <w:tc>
                <w:tcPr>
                  <w:tcW w:w="6006" w:type="dxa"/>
                  <w:tcBorders>
                    <w:tl2br w:val="nil"/>
                    <w:tr2bl w:val="nil"/>
                  </w:tcBorders>
                  <w:vAlign w:val="center"/>
                </w:tcPr>
                <w:p w14:paraId="39757382">
                  <w:pPr>
                    <w:jc w:val="center"/>
                    <w:rPr>
                      <w:color w:val="auto"/>
                      <w:szCs w:val="21"/>
                    </w:rPr>
                  </w:pPr>
                  <w:r>
                    <w:rPr>
                      <w:color w:val="auto"/>
                      <w:szCs w:val="21"/>
                    </w:rPr>
                    <w:t>盛装容器发生损坏，发生泄漏</w:t>
                  </w:r>
                </w:p>
              </w:tc>
            </w:tr>
            <w:tr w14:paraId="0B7E8B5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009" w:type="dxa"/>
                  <w:vMerge w:val="continue"/>
                  <w:tcBorders>
                    <w:tl2br w:val="nil"/>
                    <w:tr2bl w:val="nil"/>
                  </w:tcBorders>
                  <w:vAlign w:val="center"/>
                </w:tcPr>
                <w:p w14:paraId="2B2D09BF">
                  <w:pPr>
                    <w:jc w:val="center"/>
                    <w:rPr>
                      <w:color w:val="auto"/>
                      <w:szCs w:val="21"/>
                    </w:rPr>
                  </w:pPr>
                </w:p>
              </w:tc>
              <w:tc>
                <w:tcPr>
                  <w:tcW w:w="1184" w:type="dxa"/>
                  <w:tcBorders>
                    <w:tl2br w:val="nil"/>
                    <w:tr2bl w:val="nil"/>
                  </w:tcBorders>
                  <w:vAlign w:val="center"/>
                </w:tcPr>
                <w:p w14:paraId="30576DEC">
                  <w:pPr>
                    <w:jc w:val="center"/>
                    <w:rPr>
                      <w:color w:val="auto"/>
                      <w:szCs w:val="21"/>
                    </w:rPr>
                  </w:pPr>
                  <w:r>
                    <w:rPr>
                      <w:rFonts w:hint="eastAsia"/>
                      <w:color w:val="auto"/>
                      <w:szCs w:val="21"/>
                    </w:rPr>
                    <w:t>中毒</w:t>
                  </w:r>
                </w:p>
              </w:tc>
              <w:tc>
                <w:tcPr>
                  <w:tcW w:w="6006" w:type="dxa"/>
                  <w:tcBorders>
                    <w:tl2br w:val="nil"/>
                    <w:tr2bl w:val="nil"/>
                  </w:tcBorders>
                  <w:vAlign w:val="center"/>
                </w:tcPr>
                <w:p w14:paraId="6B727151">
                  <w:pPr>
                    <w:jc w:val="center"/>
                    <w:rPr>
                      <w:color w:val="auto"/>
                      <w:szCs w:val="21"/>
                    </w:rPr>
                  </w:pPr>
                  <w:r>
                    <w:rPr>
                      <w:rFonts w:hint="eastAsia"/>
                      <w:color w:val="auto"/>
                      <w:szCs w:val="21"/>
                    </w:rPr>
                    <w:t>泄漏导致储存场所有害物浓度超标</w:t>
                  </w:r>
                </w:p>
              </w:tc>
            </w:tr>
            <w:tr w14:paraId="7522BE7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009" w:type="dxa"/>
                  <w:vMerge w:val="restart"/>
                  <w:tcBorders>
                    <w:tl2br w:val="nil"/>
                    <w:tr2bl w:val="nil"/>
                  </w:tcBorders>
                  <w:vAlign w:val="center"/>
                </w:tcPr>
                <w:p w14:paraId="085F19C8">
                  <w:pPr>
                    <w:jc w:val="center"/>
                    <w:rPr>
                      <w:color w:val="auto"/>
                      <w:szCs w:val="21"/>
                    </w:rPr>
                  </w:pPr>
                  <w:r>
                    <w:rPr>
                      <w:rFonts w:hint="eastAsia"/>
                      <w:color w:val="auto"/>
                      <w:szCs w:val="21"/>
                    </w:rPr>
                    <w:t>生产</w:t>
                  </w:r>
                </w:p>
              </w:tc>
              <w:tc>
                <w:tcPr>
                  <w:tcW w:w="1184" w:type="dxa"/>
                  <w:tcBorders>
                    <w:tl2br w:val="nil"/>
                    <w:tr2bl w:val="nil"/>
                  </w:tcBorders>
                  <w:vAlign w:val="center"/>
                </w:tcPr>
                <w:p w14:paraId="1BF21D6B">
                  <w:pPr>
                    <w:jc w:val="center"/>
                    <w:rPr>
                      <w:color w:val="auto"/>
                      <w:szCs w:val="21"/>
                    </w:rPr>
                  </w:pPr>
                  <w:r>
                    <w:rPr>
                      <w:rFonts w:hint="eastAsia"/>
                      <w:color w:val="auto"/>
                      <w:szCs w:val="21"/>
                    </w:rPr>
                    <w:t>泄漏</w:t>
                  </w:r>
                </w:p>
              </w:tc>
              <w:tc>
                <w:tcPr>
                  <w:tcW w:w="6006" w:type="dxa"/>
                  <w:tcBorders>
                    <w:tl2br w:val="nil"/>
                    <w:tr2bl w:val="nil"/>
                  </w:tcBorders>
                  <w:vAlign w:val="center"/>
                </w:tcPr>
                <w:p w14:paraId="744B3E90">
                  <w:pPr>
                    <w:jc w:val="center"/>
                    <w:rPr>
                      <w:color w:val="auto"/>
                      <w:szCs w:val="21"/>
                    </w:rPr>
                  </w:pPr>
                  <w:r>
                    <w:rPr>
                      <w:rFonts w:hint="eastAsia"/>
                      <w:color w:val="auto"/>
                      <w:szCs w:val="21"/>
                    </w:rPr>
                    <w:t>进料、放料、设备损坏等</w:t>
                  </w:r>
                </w:p>
              </w:tc>
            </w:tr>
            <w:tr w14:paraId="00D01EC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009" w:type="dxa"/>
                  <w:vMerge w:val="continue"/>
                  <w:tcBorders>
                    <w:tl2br w:val="nil"/>
                    <w:tr2bl w:val="nil"/>
                  </w:tcBorders>
                  <w:vAlign w:val="center"/>
                </w:tcPr>
                <w:p w14:paraId="64635664">
                  <w:pPr>
                    <w:jc w:val="center"/>
                    <w:rPr>
                      <w:color w:val="auto"/>
                      <w:szCs w:val="21"/>
                    </w:rPr>
                  </w:pPr>
                </w:p>
              </w:tc>
              <w:tc>
                <w:tcPr>
                  <w:tcW w:w="1184" w:type="dxa"/>
                  <w:tcBorders>
                    <w:tl2br w:val="nil"/>
                    <w:tr2bl w:val="nil"/>
                  </w:tcBorders>
                  <w:vAlign w:val="center"/>
                </w:tcPr>
                <w:p w14:paraId="5E582A15">
                  <w:pPr>
                    <w:jc w:val="center"/>
                    <w:rPr>
                      <w:color w:val="auto"/>
                      <w:szCs w:val="21"/>
                    </w:rPr>
                  </w:pPr>
                  <w:r>
                    <w:rPr>
                      <w:rFonts w:hint="eastAsia"/>
                      <w:color w:val="auto"/>
                      <w:szCs w:val="21"/>
                    </w:rPr>
                    <w:t>中毒</w:t>
                  </w:r>
                </w:p>
              </w:tc>
              <w:tc>
                <w:tcPr>
                  <w:tcW w:w="6006" w:type="dxa"/>
                  <w:tcBorders>
                    <w:tl2br w:val="nil"/>
                    <w:tr2bl w:val="nil"/>
                  </w:tcBorders>
                  <w:vAlign w:val="center"/>
                </w:tcPr>
                <w:p w14:paraId="6314E205">
                  <w:pPr>
                    <w:jc w:val="center"/>
                    <w:rPr>
                      <w:color w:val="auto"/>
                      <w:szCs w:val="21"/>
                    </w:rPr>
                  </w:pPr>
                  <w:r>
                    <w:rPr>
                      <w:rFonts w:hint="eastAsia"/>
                      <w:color w:val="auto"/>
                      <w:szCs w:val="21"/>
                    </w:rPr>
                    <w:t>物料泄漏导致车间化学品浓度超标</w:t>
                  </w:r>
                </w:p>
              </w:tc>
            </w:tr>
          </w:tbl>
          <w:p w14:paraId="1B6BA3DE">
            <w:pPr>
              <w:spacing w:line="360" w:lineRule="auto"/>
              <w:ind w:firstLine="480"/>
              <w:rPr>
                <w:color w:val="auto"/>
                <w:sz w:val="24"/>
              </w:rPr>
            </w:pPr>
            <w:r>
              <w:rPr>
                <w:rFonts w:hint="eastAsia"/>
                <w:color w:val="auto"/>
                <w:sz w:val="24"/>
                <w:lang w:val="en-US" w:eastAsia="zh-CN"/>
              </w:rPr>
              <w:t>6</w:t>
            </w:r>
            <w:r>
              <w:rPr>
                <w:color w:val="auto"/>
                <w:sz w:val="24"/>
              </w:rPr>
              <w:t>.3.</w:t>
            </w:r>
            <w:r>
              <w:rPr>
                <w:rFonts w:hint="eastAsia"/>
                <w:color w:val="auto"/>
                <w:sz w:val="24"/>
              </w:rPr>
              <w:t>2</w:t>
            </w:r>
            <w:r>
              <w:rPr>
                <w:color w:val="auto"/>
                <w:sz w:val="24"/>
              </w:rPr>
              <w:t>可能扩散途径</w:t>
            </w:r>
          </w:p>
          <w:p w14:paraId="5CF3F858">
            <w:pPr>
              <w:spacing w:line="360" w:lineRule="auto"/>
              <w:ind w:firstLine="480"/>
              <w:rPr>
                <w:color w:val="auto"/>
                <w:sz w:val="24"/>
              </w:rPr>
            </w:pPr>
            <w:r>
              <w:rPr>
                <w:color w:val="auto"/>
                <w:sz w:val="24"/>
              </w:rPr>
              <w:t>根据项目环境风险类型分析，项目储罐内的危险物质发生泄漏遇明火发生火灾二次污染可能的扩散途径主要为有毒有害气体扩散至大气环境；其次为发生泄漏造成地下水、土壤环境污染。</w:t>
            </w:r>
          </w:p>
          <w:p w14:paraId="25008047">
            <w:pPr>
              <w:spacing w:line="360" w:lineRule="auto"/>
              <w:ind w:firstLine="480"/>
              <w:rPr>
                <w:color w:val="auto"/>
                <w:sz w:val="24"/>
              </w:rPr>
            </w:pPr>
            <w:r>
              <w:rPr>
                <w:color w:val="auto"/>
                <w:sz w:val="24"/>
              </w:rPr>
              <w:t>另外，扑救火灾时产生的消防废水、伴生泄漏物料以及污染雨水沿地面漫流，可能会对地下水、土壤产生污染。</w:t>
            </w:r>
          </w:p>
          <w:p w14:paraId="2B658E11">
            <w:pPr>
              <w:spacing w:line="360" w:lineRule="auto"/>
              <w:ind w:firstLine="480"/>
              <w:rPr>
                <w:color w:val="auto"/>
                <w:sz w:val="24"/>
              </w:rPr>
            </w:pPr>
            <w:r>
              <w:rPr>
                <w:rFonts w:hint="eastAsia"/>
                <w:color w:val="auto"/>
                <w:sz w:val="24"/>
                <w:lang w:val="en-US" w:eastAsia="zh-CN"/>
              </w:rPr>
              <w:t>6</w:t>
            </w:r>
            <w:r>
              <w:rPr>
                <w:color w:val="auto"/>
                <w:sz w:val="24"/>
              </w:rPr>
              <w:t>.3.</w:t>
            </w:r>
            <w:r>
              <w:rPr>
                <w:rFonts w:hint="eastAsia"/>
                <w:color w:val="auto"/>
                <w:sz w:val="24"/>
              </w:rPr>
              <w:t>3</w:t>
            </w:r>
            <w:r>
              <w:rPr>
                <w:color w:val="auto"/>
                <w:sz w:val="24"/>
              </w:rPr>
              <w:t>可能影响后果</w:t>
            </w:r>
          </w:p>
          <w:p w14:paraId="39D315C1">
            <w:pPr>
              <w:spacing w:line="360" w:lineRule="auto"/>
              <w:ind w:firstLine="480"/>
              <w:rPr>
                <w:color w:val="auto"/>
                <w:sz w:val="24"/>
              </w:rPr>
            </w:pPr>
            <w:r>
              <w:rPr>
                <w:color w:val="auto"/>
                <w:sz w:val="24"/>
              </w:rPr>
              <w:t>风险源环境风险类型、转化为事故的出发因素以及可能的环境影响途径见表4-</w:t>
            </w:r>
            <w:r>
              <w:rPr>
                <w:rFonts w:hint="eastAsia"/>
                <w:color w:val="auto"/>
                <w:sz w:val="24"/>
                <w:lang w:val="en-US" w:eastAsia="zh-CN"/>
              </w:rPr>
              <w:t>9</w:t>
            </w:r>
            <w:r>
              <w:rPr>
                <w:color w:val="auto"/>
                <w:sz w:val="24"/>
              </w:rPr>
              <w:t>。</w:t>
            </w:r>
          </w:p>
          <w:p w14:paraId="4F8A5042">
            <w:pPr>
              <w:pStyle w:val="7"/>
              <w:spacing w:after="0" w:line="360" w:lineRule="auto"/>
              <w:jc w:val="center"/>
              <w:rPr>
                <w:b/>
                <w:bCs/>
                <w:color w:val="auto"/>
                <w:szCs w:val="21"/>
              </w:rPr>
            </w:pPr>
            <w:r>
              <w:rPr>
                <w:b/>
                <w:bCs/>
                <w:color w:val="auto"/>
                <w:szCs w:val="21"/>
              </w:rPr>
              <w:t>表 4-</w:t>
            </w:r>
            <w:r>
              <w:rPr>
                <w:rFonts w:hint="eastAsia"/>
                <w:b/>
                <w:bCs/>
                <w:color w:val="auto"/>
                <w:szCs w:val="21"/>
                <w:lang w:val="en-US" w:eastAsia="zh-CN"/>
              </w:rPr>
              <w:t>9</w:t>
            </w:r>
            <w:r>
              <w:rPr>
                <w:b/>
                <w:bCs/>
                <w:color w:val="auto"/>
                <w:szCs w:val="21"/>
              </w:rPr>
              <w:t xml:space="preserve">    项目环境风险识别一览表</w:t>
            </w:r>
          </w:p>
          <w:tbl>
            <w:tblPr>
              <w:tblStyle w:val="19"/>
              <w:tblW w:w="8167"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3526"/>
              <w:gridCol w:w="1877"/>
              <w:gridCol w:w="2764"/>
            </w:tblGrid>
            <w:tr w14:paraId="649BA56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2158" w:type="pct"/>
                  <w:tcBorders>
                    <w:tl2br w:val="nil"/>
                    <w:tr2bl w:val="nil"/>
                  </w:tcBorders>
                  <w:vAlign w:val="center"/>
                </w:tcPr>
                <w:p w14:paraId="4F68151D">
                  <w:pPr>
                    <w:jc w:val="center"/>
                    <w:rPr>
                      <w:color w:val="auto"/>
                      <w:szCs w:val="21"/>
                    </w:rPr>
                  </w:pPr>
                  <w:r>
                    <w:rPr>
                      <w:color w:val="auto"/>
                      <w:szCs w:val="21"/>
                    </w:rPr>
                    <w:t>环境风险类型</w:t>
                  </w:r>
                </w:p>
              </w:tc>
              <w:tc>
                <w:tcPr>
                  <w:tcW w:w="1149" w:type="pct"/>
                  <w:tcBorders>
                    <w:tl2br w:val="nil"/>
                    <w:tr2bl w:val="nil"/>
                  </w:tcBorders>
                  <w:vAlign w:val="center"/>
                </w:tcPr>
                <w:p w14:paraId="364AAAC4">
                  <w:pPr>
                    <w:jc w:val="center"/>
                    <w:rPr>
                      <w:color w:val="auto"/>
                      <w:szCs w:val="21"/>
                    </w:rPr>
                  </w:pPr>
                  <w:r>
                    <w:rPr>
                      <w:color w:val="auto"/>
                      <w:szCs w:val="21"/>
                    </w:rPr>
                    <w:t>触发因素</w:t>
                  </w:r>
                </w:p>
              </w:tc>
              <w:tc>
                <w:tcPr>
                  <w:tcW w:w="1692" w:type="pct"/>
                  <w:tcBorders>
                    <w:tl2br w:val="nil"/>
                    <w:tr2bl w:val="nil"/>
                  </w:tcBorders>
                  <w:vAlign w:val="center"/>
                </w:tcPr>
                <w:p w14:paraId="57B3F4D8">
                  <w:pPr>
                    <w:jc w:val="center"/>
                    <w:rPr>
                      <w:color w:val="auto"/>
                      <w:szCs w:val="21"/>
                    </w:rPr>
                  </w:pPr>
                  <w:r>
                    <w:rPr>
                      <w:color w:val="auto"/>
                      <w:szCs w:val="21"/>
                    </w:rPr>
                    <w:t>可能环境影响途径</w:t>
                  </w:r>
                </w:p>
              </w:tc>
            </w:tr>
            <w:tr w14:paraId="34A8E21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2158" w:type="pct"/>
                  <w:tcBorders>
                    <w:tl2br w:val="nil"/>
                    <w:tr2bl w:val="nil"/>
                  </w:tcBorders>
                  <w:vAlign w:val="center"/>
                </w:tcPr>
                <w:p w14:paraId="564DD530">
                  <w:pPr>
                    <w:jc w:val="center"/>
                    <w:rPr>
                      <w:color w:val="auto"/>
                      <w:szCs w:val="21"/>
                    </w:rPr>
                  </w:pPr>
                  <w:r>
                    <w:rPr>
                      <w:color w:val="auto"/>
                      <w:szCs w:val="21"/>
                    </w:rPr>
                    <w:t>泄漏，遇明火导致火灾，引发污染物排放；渗入地下水、土壤环境，造成地下水、土壤污染</w:t>
                  </w:r>
                </w:p>
              </w:tc>
              <w:tc>
                <w:tcPr>
                  <w:tcW w:w="1149" w:type="pct"/>
                  <w:tcBorders>
                    <w:tl2br w:val="nil"/>
                    <w:tr2bl w:val="nil"/>
                  </w:tcBorders>
                  <w:vAlign w:val="center"/>
                </w:tcPr>
                <w:p w14:paraId="210ABD0A">
                  <w:pPr>
                    <w:jc w:val="center"/>
                    <w:rPr>
                      <w:color w:val="auto"/>
                      <w:szCs w:val="21"/>
                    </w:rPr>
                  </w:pPr>
                  <w:r>
                    <w:rPr>
                      <w:color w:val="auto"/>
                      <w:szCs w:val="21"/>
                    </w:rPr>
                    <w:t>设备腐蚀、操作失误等引发泄漏</w:t>
                  </w:r>
                </w:p>
              </w:tc>
              <w:tc>
                <w:tcPr>
                  <w:tcW w:w="1692" w:type="pct"/>
                  <w:tcBorders>
                    <w:tl2br w:val="nil"/>
                    <w:tr2bl w:val="nil"/>
                  </w:tcBorders>
                  <w:vAlign w:val="center"/>
                </w:tcPr>
                <w:p w14:paraId="0106EBA1">
                  <w:pPr>
                    <w:jc w:val="center"/>
                    <w:rPr>
                      <w:color w:val="auto"/>
                      <w:szCs w:val="21"/>
                    </w:rPr>
                  </w:pPr>
                  <w:r>
                    <w:rPr>
                      <w:color w:val="auto"/>
                      <w:szCs w:val="21"/>
                    </w:rPr>
                    <w:t>泄漏后污染周边大气环境；泄漏物进入地下水和土壤环境</w:t>
                  </w:r>
                </w:p>
              </w:tc>
            </w:tr>
          </w:tbl>
          <w:p w14:paraId="6E2678C6">
            <w:pPr>
              <w:spacing w:line="360" w:lineRule="auto"/>
              <w:ind w:firstLine="482"/>
              <w:rPr>
                <w:rFonts w:hint="eastAsia"/>
                <w:color w:val="auto"/>
                <w:sz w:val="24"/>
              </w:rPr>
            </w:pPr>
            <w:r>
              <w:rPr>
                <w:rFonts w:hint="eastAsia"/>
                <w:color w:val="auto"/>
                <w:sz w:val="24"/>
                <w:lang w:val="en-US" w:eastAsia="zh-CN"/>
              </w:rPr>
              <w:t>6</w:t>
            </w:r>
            <w:r>
              <w:rPr>
                <w:rFonts w:hint="eastAsia"/>
                <w:color w:val="auto"/>
                <w:sz w:val="24"/>
              </w:rPr>
              <w:t>.4风险处置措施</w:t>
            </w:r>
          </w:p>
          <w:p w14:paraId="531B6C19">
            <w:pPr>
              <w:spacing w:line="360" w:lineRule="auto"/>
              <w:ind w:firstLine="482"/>
              <w:rPr>
                <w:rFonts w:hint="eastAsia"/>
                <w:color w:val="auto"/>
                <w:sz w:val="24"/>
              </w:rPr>
            </w:pPr>
            <w:r>
              <w:rPr>
                <w:rFonts w:hint="eastAsia"/>
                <w:color w:val="auto"/>
                <w:sz w:val="24"/>
              </w:rPr>
              <w:t>立即启动应急预案‌：发现柴油泄漏后，应立即启动应急预案，通知相关人员和部门，确保迅速有效地应对事故‌。</w:t>
            </w:r>
          </w:p>
          <w:p w14:paraId="3909035D">
            <w:pPr>
              <w:spacing w:line="360" w:lineRule="auto"/>
              <w:ind w:firstLine="482"/>
              <w:rPr>
                <w:rFonts w:hint="eastAsia"/>
                <w:color w:val="auto"/>
                <w:sz w:val="24"/>
              </w:rPr>
            </w:pPr>
            <w:r>
              <w:rPr>
                <w:rFonts w:hint="eastAsia"/>
                <w:color w:val="auto"/>
                <w:sz w:val="24"/>
              </w:rPr>
              <w:t>‌疏散人员‌：迅速疏散泄漏区域内的无关人员，确保所有人员远离泄漏点，避免吸入有害气体或发生火灾爆炸事故‌。</w:t>
            </w:r>
          </w:p>
          <w:p w14:paraId="7289AEB7">
            <w:pPr>
              <w:spacing w:line="360" w:lineRule="auto"/>
              <w:ind w:firstLine="482"/>
              <w:rPr>
                <w:rFonts w:hint="eastAsia"/>
                <w:color w:val="auto"/>
                <w:sz w:val="24"/>
              </w:rPr>
            </w:pPr>
            <w:r>
              <w:rPr>
                <w:rFonts w:hint="eastAsia"/>
                <w:color w:val="auto"/>
                <w:sz w:val="24"/>
              </w:rPr>
              <w:t>‌切断泄漏源‌：尽快采取措施切断泄漏源，关闭相关阀门或设备，防止柴油继续泄漏。</w:t>
            </w:r>
          </w:p>
          <w:p w14:paraId="12826A22">
            <w:pPr>
              <w:spacing w:line="360" w:lineRule="auto"/>
              <w:ind w:firstLine="482"/>
              <w:rPr>
                <w:rFonts w:hint="eastAsia"/>
                <w:color w:val="auto"/>
                <w:sz w:val="24"/>
              </w:rPr>
            </w:pPr>
            <w:r>
              <w:rPr>
                <w:rFonts w:hint="eastAsia"/>
                <w:color w:val="auto"/>
                <w:sz w:val="24"/>
              </w:rPr>
              <w:t>‌控制泄漏范围‌：使用吸油毡、沙袋等材料围堵泄漏柴油，防止其进一步扩散。尽量将泄漏柴油引导至安全区域或收集容器中。</w:t>
            </w:r>
          </w:p>
          <w:p w14:paraId="5BEB6D51">
            <w:pPr>
              <w:spacing w:line="360" w:lineRule="auto"/>
              <w:ind w:firstLine="482"/>
              <w:rPr>
                <w:rFonts w:hint="eastAsia"/>
                <w:color w:val="auto"/>
                <w:sz w:val="24"/>
              </w:rPr>
            </w:pPr>
            <w:r>
              <w:rPr>
                <w:rFonts w:hint="eastAsia"/>
                <w:color w:val="auto"/>
                <w:sz w:val="24"/>
              </w:rPr>
              <w:t>‌清理泄漏物‌：使用专业设备和工具，如吸油机、吸油拖把等，彻底清理泄漏的柴油。将清理后的废弃物按照环保要求进行处理。</w:t>
            </w:r>
          </w:p>
          <w:p w14:paraId="6C6A76DA">
            <w:pPr>
              <w:spacing w:line="360" w:lineRule="auto"/>
              <w:ind w:firstLine="482"/>
              <w:rPr>
                <w:rFonts w:hint="eastAsia"/>
                <w:color w:val="auto"/>
                <w:sz w:val="24"/>
              </w:rPr>
            </w:pPr>
            <w:r>
              <w:rPr>
                <w:rFonts w:hint="eastAsia"/>
                <w:color w:val="auto"/>
                <w:sz w:val="24"/>
              </w:rPr>
              <w:t>‌检查设备‌：对泄漏点附近的设备进行详细检查，确认是否存在其他潜在的安全隐患，并进行必要的维修或更换‌。</w:t>
            </w:r>
          </w:p>
          <w:p w14:paraId="7F1DEB4D">
            <w:pPr>
              <w:spacing w:line="360" w:lineRule="auto"/>
              <w:ind w:firstLine="482"/>
              <w:rPr>
                <w:color w:val="auto"/>
                <w:sz w:val="24"/>
              </w:rPr>
            </w:pPr>
            <w:r>
              <w:rPr>
                <w:rFonts w:hint="eastAsia"/>
                <w:color w:val="auto"/>
                <w:sz w:val="24"/>
                <w:lang w:val="en-US" w:eastAsia="zh-CN"/>
              </w:rPr>
              <w:t>6</w:t>
            </w:r>
            <w:r>
              <w:rPr>
                <w:rFonts w:hint="eastAsia"/>
                <w:color w:val="auto"/>
                <w:sz w:val="24"/>
              </w:rPr>
              <w:t>.5环境风险管理</w:t>
            </w:r>
          </w:p>
          <w:p w14:paraId="1D887558">
            <w:pPr>
              <w:spacing w:line="360" w:lineRule="auto"/>
              <w:ind w:firstLine="482"/>
              <w:rPr>
                <w:color w:val="auto"/>
                <w:sz w:val="24"/>
              </w:rPr>
            </w:pPr>
            <w:r>
              <w:rPr>
                <w:rFonts w:hint="eastAsia"/>
                <w:color w:val="auto"/>
                <w:sz w:val="24"/>
              </w:rPr>
              <w:t>根据《关于进一步加强环境影响评价管理防范环境风险的通知》（环发[2012]77号），“建设单位及其所属企业是环境风险防范的责任主体”，因此建设单位应严格按照该文中的规定执行，同时“应建立有效的环境风险防范与应急管理体系并不断完善”。</w:t>
            </w:r>
          </w:p>
          <w:p w14:paraId="22D9C627">
            <w:pPr>
              <w:spacing w:line="360" w:lineRule="auto"/>
              <w:ind w:firstLine="482"/>
              <w:rPr>
                <w:color w:val="auto"/>
                <w:sz w:val="24"/>
              </w:rPr>
            </w:pPr>
            <w:bookmarkStart w:id="9" w:name="_Toc15078"/>
            <w:r>
              <w:rPr>
                <w:rFonts w:hint="eastAsia"/>
                <w:color w:val="auto"/>
                <w:sz w:val="24"/>
                <w:lang w:val="en-US" w:eastAsia="zh-CN"/>
              </w:rPr>
              <w:t>6</w:t>
            </w:r>
            <w:r>
              <w:rPr>
                <w:rFonts w:hint="eastAsia"/>
                <w:color w:val="auto"/>
                <w:sz w:val="24"/>
              </w:rPr>
              <w:t>.5.1管理体制</w:t>
            </w:r>
            <w:bookmarkEnd w:id="9"/>
          </w:p>
          <w:p w14:paraId="7F0271FC">
            <w:pPr>
              <w:spacing w:line="360" w:lineRule="auto"/>
              <w:ind w:firstLine="482"/>
              <w:rPr>
                <w:color w:val="auto"/>
                <w:sz w:val="24"/>
              </w:rPr>
            </w:pPr>
            <w:r>
              <w:rPr>
                <w:rFonts w:hint="eastAsia"/>
                <w:color w:val="auto"/>
                <w:sz w:val="24"/>
              </w:rPr>
              <w:t>经过对类似企业事故原因的统计，人为因素往往是事故发生的主要原因，因此严格管理，做好职工的环保意识培养是预防事故发生的重要环节。</w:t>
            </w:r>
          </w:p>
          <w:p w14:paraId="6C21FE17">
            <w:pPr>
              <w:spacing w:line="360" w:lineRule="auto"/>
              <w:ind w:firstLine="482"/>
              <w:rPr>
                <w:color w:val="auto"/>
                <w:sz w:val="24"/>
              </w:rPr>
            </w:pPr>
            <w:r>
              <w:rPr>
                <w:rFonts w:hint="eastAsia"/>
                <w:color w:val="auto"/>
                <w:sz w:val="24"/>
              </w:rPr>
              <w:t>（1）加强环保意识教育以提高工作职工的责任心和工作主动性。</w:t>
            </w:r>
          </w:p>
          <w:p w14:paraId="397C4035">
            <w:pPr>
              <w:spacing w:line="360" w:lineRule="auto"/>
              <w:ind w:firstLine="482"/>
              <w:rPr>
                <w:color w:val="auto"/>
                <w:sz w:val="24"/>
              </w:rPr>
            </w:pPr>
            <w:r>
              <w:rPr>
                <w:rFonts w:hint="eastAsia"/>
                <w:color w:val="auto"/>
                <w:sz w:val="24"/>
              </w:rPr>
              <w:t>（2）操作人员需定期进行岗位系统培训，</w:t>
            </w:r>
            <w:r>
              <w:rPr>
                <w:color w:val="auto"/>
                <w:sz w:val="24"/>
              </w:rPr>
              <w:t>孰悉工作岗位责任、规程，加强岗位责任制。</w:t>
            </w:r>
          </w:p>
          <w:p w14:paraId="1A3977B0">
            <w:pPr>
              <w:spacing w:line="360" w:lineRule="auto"/>
              <w:ind w:firstLine="480" w:firstLineChars="200"/>
              <w:rPr>
                <w:color w:val="auto"/>
                <w:sz w:val="24"/>
              </w:rPr>
            </w:pPr>
            <w:r>
              <w:rPr>
                <w:rFonts w:hint="eastAsia"/>
                <w:color w:val="auto"/>
                <w:sz w:val="24"/>
              </w:rPr>
              <w:t>（3）</w:t>
            </w:r>
            <w:r>
              <w:rPr>
                <w:color w:val="auto"/>
                <w:sz w:val="24"/>
              </w:rPr>
              <w:t>严格遵守操作规程，对职工进行技术培训。</w:t>
            </w:r>
          </w:p>
          <w:p w14:paraId="318604B3">
            <w:pPr>
              <w:spacing w:line="360" w:lineRule="auto"/>
              <w:ind w:firstLine="482"/>
              <w:rPr>
                <w:color w:val="auto"/>
                <w:sz w:val="24"/>
              </w:rPr>
            </w:pPr>
            <w:r>
              <w:rPr>
                <w:rFonts w:hint="eastAsia"/>
                <w:color w:val="auto"/>
                <w:sz w:val="24"/>
              </w:rPr>
              <w:t>（4）对事故易发部位、易漏地点，除本岗工人及时检查外，应设安全员巡检。</w:t>
            </w:r>
          </w:p>
          <w:p w14:paraId="1F46770B">
            <w:pPr>
              <w:spacing w:line="360" w:lineRule="auto"/>
              <w:ind w:firstLine="482"/>
              <w:rPr>
                <w:color w:val="auto"/>
                <w:sz w:val="24"/>
              </w:rPr>
            </w:pPr>
            <w:r>
              <w:rPr>
                <w:rFonts w:hint="eastAsia"/>
                <w:color w:val="auto"/>
                <w:sz w:val="24"/>
              </w:rPr>
              <w:t>（5）施工、设备、材料应按规章进行认真的检查、验收。设计、工艺、管理三部门通力合作，严防不合格设备、材料蒙混过关，杜绝偷工减料现象。</w:t>
            </w:r>
          </w:p>
          <w:p w14:paraId="5CDFA7B2">
            <w:pPr>
              <w:spacing w:line="360" w:lineRule="auto"/>
              <w:ind w:firstLine="482"/>
              <w:rPr>
                <w:color w:val="auto"/>
                <w:sz w:val="24"/>
              </w:rPr>
            </w:pPr>
            <w:bookmarkStart w:id="10" w:name="_Toc23657"/>
            <w:r>
              <w:rPr>
                <w:rFonts w:hint="eastAsia"/>
                <w:color w:val="auto"/>
                <w:sz w:val="24"/>
                <w:lang w:val="en-US" w:eastAsia="zh-CN"/>
              </w:rPr>
              <w:t>6</w:t>
            </w:r>
            <w:r>
              <w:rPr>
                <w:rFonts w:hint="eastAsia"/>
                <w:color w:val="auto"/>
                <w:sz w:val="24"/>
              </w:rPr>
              <w:t>.5.2环境风险应急预案</w:t>
            </w:r>
            <w:bookmarkEnd w:id="10"/>
          </w:p>
          <w:p w14:paraId="7CC1AEED">
            <w:pPr>
              <w:spacing w:line="360" w:lineRule="auto"/>
              <w:ind w:firstLine="482"/>
              <w:rPr>
                <w:color w:val="auto"/>
                <w:sz w:val="24"/>
              </w:rPr>
            </w:pPr>
            <w:r>
              <w:rPr>
                <w:rFonts w:hint="eastAsia"/>
                <w:color w:val="auto"/>
                <w:sz w:val="24"/>
              </w:rPr>
              <w:t>无论预防工作如何周密，风险事故总是难以根本杜绝，针对该建设项目的主要危险场所，建设单位应编制事故应急预案。风险应急预案主要是为了针对重大风险事故发生时所设定的紧急补救措施，避免更大的人员伤亡和环境污染事故的发生，在突发的风险事故中，能够迅速准确地处理事故和控制事态发展，把损失降到最低限度。</w:t>
            </w:r>
          </w:p>
          <w:p w14:paraId="4255362D">
            <w:pPr>
              <w:spacing w:line="360" w:lineRule="auto"/>
              <w:ind w:firstLine="482"/>
              <w:rPr>
                <w:color w:val="auto"/>
                <w:sz w:val="24"/>
              </w:rPr>
            </w:pPr>
            <w:r>
              <w:rPr>
                <w:rFonts w:hint="eastAsia"/>
                <w:color w:val="auto"/>
                <w:sz w:val="24"/>
              </w:rPr>
              <w:t>发生风险突发事件，任何部门和个人都有责任在第一时间拨打报警电话或者直接向</w:t>
            </w:r>
            <w:r>
              <w:rPr>
                <w:rFonts w:hint="eastAsia"/>
                <w:color w:val="auto"/>
                <w:sz w:val="24"/>
                <w:lang w:eastAsia="zh-CN"/>
              </w:rPr>
              <w:t>主管部门</w:t>
            </w:r>
            <w:r>
              <w:rPr>
                <w:rFonts w:hint="eastAsia"/>
                <w:color w:val="auto"/>
                <w:sz w:val="24"/>
              </w:rPr>
              <w:t>报告，接警单位立即向</w:t>
            </w:r>
            <w:r>
              <w:rPr>
                <w:rFonts w:hint="eastAsia"/>
                <w:color w:val="auto"/>
                <w:sz w:val="24"/>
                <w:lang w:eastAsia="zh-CN"/>
              </w:rPr>
              <w:t>主管部门</w:t>
            </w:r>
            <w:r>
              <w:rPr>
                <w:rFonts w:hint="eastAsia"/>
                <w:color w:val="auto"/>
                <w:sz w:val="24"/>
              </w:rPr>
              <w:t>主要领导报告。风险突发事件发生后，事故源单位必须做到：在24小时内写出书面报告，报送指挥部领导及办公室。报告内容包括：发生危机的单位、事件发生的时间、详细地点、事件的简要经过、伤亡人数、直接经济损失的初步估计、危机原因、性质的初步判断、抢救处理情况或已采取的措施、还需要有关部门协助抢救和处理的有关事宜等。</w:t>
            </w:r>
          </w:p>
          <w:p w14:paraId="3E64E642">
            <w:pPr>
              <w:spacing w:line="360" w:lineRule="auto"/>
              <w:ind w:firstLine="482"/>
              <w:rPr>
                <w:color w:val="auto"/>
                <w:sz w:val="24"/>
              </w:rPr>
            </w:pPr>
            <w:bookmarkStart w:id="11" w:name="_Toc30588"/>
            <w:r>
              <w:rPr>
                <w:rFonts w:hint="eastAsia"/>
                <w:color w:val="auto"/>
                <w:sz w:val="24"/>
                <w:lang w:val="en-US" w:eastAsia="zh-CN"/>
              </w:rPr>
              <w:t>6</w:t>
            </w:r>
            <w:r>
              <w:rPr>
                <w:rFonts w:hint="eastAsia"/>
                <w:color w:val="auto"/>
                <w:sz w:val="24"/>
              </w:rPr>
              <w:t>.</w:t>
            </w:r>
            <w:r>
              <w:rPr>
                <w:rFonts w:hint="eastAsia"/>
                <w:color w:val="auto"/>
                <w:sz w:val="24"/>
                <w:lang w:val="en-US" w:eastAsia="zh-CN"/>
              </w:rPr>
              <w:t>5</w:t>
            </w:r>
            <w:r>
              <w:rPr>
                <w:rFonts w:hint="eastAsia"/>
                <w:color w:val="auto"/>
                <w:sz w:val="24"/>
              </w:rPr>
              <w:t>.3应急预案</w:t>
            </w:r>
            <w:bookmarkEnd w:id="11"/>
          </w:p>
          <w:p w14:paraId="54DF9B72">
            <w:pPr>
              <w:spacing w:line="360" w:lineRule="auto"/>
              <w:ind w:firstLine="482"/>
              <w:rPr>
                <w:color w:val="auto"/>
                <w:sz w:val="24"/>
              </w:rPr>
            </w:pPr>
            <w:r>
              <w:rPr>
                <w:rFonts w:hint="eastAsia"/>
                <w:color w:val="auto"/>
                <w:sz w:val="24"/>
              </w:rPr>
              <w:t>风险应急预案主要是为了针对重大风险事故发生时所设定的紧急补救措施，避免更大的人员伤亡和财产损失，在突发的风险事故中，能够迅速准确地处理事故和控制事态发展，把损失降到最低限度。</w:t>
            </w:r>
          </w:p>
          <w:p w14:paraId="7F56D342">
            <w:pPr>
              <w:spacing w:line="360" w:lineRule="auto"/>
              <w:ind w:firstLine="482"/>
              <w:rPr>
                <w:color w:val="auto"/>
                <w:sz w:val="24"/>
              </w:rPr>
            </w:pPr>
            <w:r>
              <w:rPr>
                <w:rFonts w:hint="eastAsia"/>
                <w:color w:val="auto"/>
                <w:sz w:val="24"/>
              </w:rPr>
              <w:t>根据有关法律法规，坚持“预防为主”的指导思想兼有“统一指挥、行之有理、行之有效、行之迅速、将损失降到最低”的原则，编制本项目风险事故应急预案。</w:t>
            </w:r>
          </w:p>
          <w:p w14:paraId="6ABE0CAA">
            <w:pPr>
              <w:spacing w:line="360" w:lineRule="auto"/>
              <w:ind w:firstLine="480" w:firstLineChars="200"/>
              <w:rPr>
                <w:color w:val="auto"/>
                <w:sz w:val="24"/>
              </w:rPr>
            </w:pPr>
            <w:r>
              <w:rPr>
                <w:rFonts w:hint="eastAsia"/>
                <w:color w:val="auto"/>
                <w:sz w:val="24"/>
              </w:rPr>
              <w:t>（1）危险目标的确定</w:t>
            </w:r>
          </w:p>
          <w:p w14:paraId="6CD1AF8E">
            <w:pPr>
              <w:spacing w:line="360" w:lineRule="auto"/>
              <w:ind w:firstLine="480" w:firstLineChars="200"/>
              <w:rPr>
                <w:color w:val="auto"/>
                <w:sz w:val="24"/>
              </w:rPr>
            </w:pPr>
            <w:r>
              <w:rPr>
                <w:rFonts w:hint="eastAsia"/>
                <w:color w:val="auto"/>
                <w:sz w:val="24"/>
              </w:rPr>
              <w:t>根据事故类别、综合分析的危害程度，确定危险目标为</w:t>
            </w:r>
            <w:r>
              <w:rPr>
                <w:rFonts w:hint="eastAsia"/>
                <w:color w:val="auto"/>
                <w:sz w:val="24"/>
                <w:lang w:eastAsia="zh-CN"/>
              </w:rPr>
              <w:t>柴油储罐</w:t>
            </w:r>
            <w:r>
              <w:rPr>
                <w:rFonts w:hint="eastAsia"/>
                <w:color w:val="auto"/>
                <w:sz w:val="24"/>
              </w:rPr>
              <w:t>。</w:t>
            </w:r>
          </w:p>
          <w:p w14:paraId="090DD78D">
            <w:pPr>
              <w:spacing w:line="360" w:lineRule="auto"/>
              <w:ind w:firstLine="480" w:firstLineChars="200"/>
              <w:rPr>
                <w:color w:val="auto"/>
                <w:sz w:val="24"/>
              </w:rPr>
            </w:pPr>
            <w:r>
              <w:rPr>
                <w:rFonts w:hint="eastAsia"/>
                <w:color w:val="auto"/>
                <w:sz w:val="24"/>
              </w:rPr>
              <w:t>（2）应急救援组织机构设置、人员组成和职责的划分</w:t>
            </w:r>
          </w:p>
          <w:p w14:paraId="47BD153F">
            <w:pPr>
              <w:spacing w:line="360" w:lineRule="auto"/>
              <w:ind w:firstLine="480" w:firstLineChars="200"/>
              <w:rPr>
                <w:color w:val="auto"/>
                <w:sz w:val="24"/>
              </w:rPr>
            </w:pPr>
            <w:r>
              <w:rPr>
                <w:rFonts w:hint="eastAsia"/>
                <w:color w:val="auto"/>
                <w:sz w:val="24"/>
              </w:rPr>
              <w:t>A、应急救援组织机构设置</w:t>
            </w:r>
          </w:p>
          <w:p w14:paraId="5318FF64">
            <w:pPr>
              <w:spacing w:line="360" w:lineRule="auto"/>
              <w:ind w:firstLine="480" w:firstLineChars="200"/>
              <w:rPr>
                <w:color w:val="auto"/>
                <w:sz w:val="24"/>
              </w:rPr>
            </w:pPr>
            <w:r>
              <w:rPr>
                <w:rFonts w:hint="eastAsia"/>
                <w:color w:val="auto"/>
                <w:sz w:val="24"/>
              </w:rPr>
              <w:t>依据事故的类别、危害程度的级别和从业人员的评估结果，设置分级应急救援组织机构。</w:t>
            </w:r>
          </w:p>
          <w:p w14:paraId="13B52DD4">
            <w:pPr>
              <w:spacing w:line="360" w:lineRule="auto"/>
              <w:ind w:firstLine="480" w:firstLineChars="200"/>
              <w:rPr>
                <w:color w:val="auto"/>
                <w:sz w:val="24"/>
              </w:rPr>
            </w:pPr>
            <w:r>
              <w:rPr>
                <w:rFonts w:hint="eastAsia"/>
                <w:color w:val="auto"/>
                <w:sz w:val="24"/>
              </w:rPr>
              <w:t>B、组成人员</w:t>
            </w:r>
          </w:p>
          <w:p w14:paraId="618DAD42">
            <w:pPr>
              <w:spacing w:line="360" w:lineRule="auto"/>
              <w:ind w:firstLine="480" w:firstLineChars="200"/>
              <w:rPr>
                <w:color w:val="auto"/>
                <w:sz w:val="24"/>
              </w:rPr>
            </w:pPr>
            <w:r>
              <w:rPr>
                <w:rFonts w:hint="eastAsia"/>
                <w:color w:val="auto"/>
                <w:sz w:val="24"/>
              </w:rPr>
              <w:t>明确主要负责人、有关管理人员与现场指挥人。</w:t>
            </w:r>
          </w:p>
          <w:p w14:paraId="75E627EE">
            <w:pPr>
              <w:spacing w:line="360" w:lineRule="auto"/>
              <w:ind w:firstLine="480" w:firstLineChars="200"/>
              <w:rPr>
                <w:color w:val="auto"/>
                <w:sz w:val="24"/>
              </w:rPr>
            </w:pPr>
            <w:r>
              <w:rPr>
                <w:rFonts w:hint="eastAsia"/>
                <w:color w:val="auto"/>
                <w:sz w:val="24"/>
              </w:rPr>
              <w:t>C、主要职责</w:t>
            </w:r>
          </w:p>
          <w:p w14:paraId="38C374DF">
            <w:pPr>
              <w:spacing w:line="360" w:lineRule="auto"/>
              <w:ind w:firstLine="480" w:firstLineChars="200"/>
              <w:rPr>
                <w:color w:val="auto"/>
                <w:sz w:val="24"/>
              </w:rPr>
            </w:pPr>
            <w:r>
              <w:rPr>
                <w:rFonts w:hint="eastAsia"/>
                <w:color w:val="auto"/>
                <w:sz w:val="24"/>
              </w:rPr>
              <w:t>组织制订事故应急救援预案；负责人员、资源配置、应急队伍的调动；确定现场指挥人员；协调事故现场有关工作；批准本预案的启动与终止；事故状态下各级人员的职责；事故信息的上报工作；接受政府的指令和调动；组织应急预案的演练；负责保护事故发生后的相关数据。</w:t>
            </w:r>
          </w:p>
          <w:p w14:paraId="5E3EB589">
            <w:pPr>
              <w:spacing w:line="360" w:lineRule="auto"/>
              <w:ind w:firstLine="480" w:firstLineChars="200"/>
              <w:rPr>
                <w:color w:val="auto"/>
                <w:sz w:val="24"/>
              </w:rPr>
            </w:pPr>
            <w:r>
              <w:rPr>
                <w:rFonts w:hint="eastAsia"/>
                <w:color w:val="auto"/>
                <w:sz w:val="24"/>
              </w:rPr>
              <w:t>D、报警、通讯联络的选择</w:t>
            </w:r>
          </w:p>
          <w:p w14:paraId="279F8EE1">
            <w:pPr>
              <w:spacing w:line="360" w:lineRule="auto"/>
              <w:ind w:firstLine="480" w:firstLineChars="200"/>
              <w:rPr>
                <w:color w:val="auto"/>
                <w:sz w:val="24"/>
              </w:rPr>
            </w:pPr>
            <w:r>
              <w:rPr>
                <w:rFonts w:hint="eastAsia"/>
                <w:color w:val="auto"/>
                <w:sz w:val="24"/>
              </w:rPr>
              <w:t>依据现有资源的评估结果，确定以下内容：</w:t>
            </w:r>
          </w:p>
          <w:p w14:paraId="29DCD1C4">
            <w:pPr>
              <w:spacing w:line="360" w:lineRule="auto"/>
              <w:ind w:firstLine="480" w:firstLineChars="200"/>
              <w:rPr>
                <w:color w:val="auto"/>
                <w:sz w:val="24"/>
              </w:rPr>
            </w:pPr>
            <w:r>
              <w:rPr>
                <w:rFonts w:hint="eastAsia"/>
                <w:color w:val="auto"/>
                <w:sz w:val="24"/>
              </w:rPr>
              <w:t>24小时有效的报警装置；24 小时有效的内部、外部通讯联络手段。</w:t>
            </w:r>
          </w:p>
          <w:p w14:paraId="705A8FA5">
            <w:pPr>
              <w:spacing w:line="360" w:lineRule="auto"/>
              <w:ind w:firstLine="480" w:firstLineChars="200"/>
              <w:rPr>
                <w:color w:val="auto"/>
                <w:sz w:val="24"/>
              </w:rPr>
            </w:pPr>
            <w:r>
              <w:rPr>
                <w:rFonts w:hint="eastAsia"/>
                <w:color w:val="auto"/>
                <w:sz w:val="24"/>
              </w:rPr>
              <w:t>E、事故发生后应采取的工艺处理措施</w:t>
            </w:r>
          </w:p>
          <w:p w14:paraId="38E9FF7B">
            <w:pPr>
              <w:spacing w:line="360" w:lineRule="auto"/>
              <w:ind w:firstLine="480" w:firstLineChars="200"/>
              <w:rPr>
                <w:color w:val="auto"/>
                <w:sz w:val="24"/>
              </w:rPr>
            </w:pPr>
            <w:r>
              <w:rPr>
                <w:rFonts w:hint="eastAsia"/>
                <w:color w:val="auto"/>
                <w:sz w:val="24"/>
              </w:rPr>
              <w:t>根据工艺规程、操作规程的技术要求，确定采取的处理措施。</w:t>
            </w:r>
          </w:p>
          <w:p w14:paraId="7C367054">
            <w:pPr>
              <w:spacing w:line="360" w:lineRule="auto"/>
              <w:ind w:firstLine="480" w:firstLineChars="200"/>
              <w:rPr>
                <w:color w:val="auto"/>
                <w:sz w:val="24"/>
              </w:rPr>
            </w:pPr>
            <w:r>
              <w:rPr>
                <w:rFonts w:hint="eastAsia"/>
                <w:color w:val="auto"/>
                <w:sz w:val="24"/>
              </w:rPr>
              <w:t>F、人员紧急疏散、撤离</w:t>
            </w:r>
          </w:p>
          <w:p w14:paraId="3746E0A4">
            <w:pPr>
              <w:spacing w:line="360" w:lineRule="auto"/>
              <w:ind w:firstLine="480" w:firstLineChars="200"/>
              <w:rPr>
                <w:color w:val="auto"/>
                <w:sz w:val="24"/>
              </w:rPr>
            </w:pPr>
            <w:r>
              <w:rPr>
                <w:rFonts w:hint="eastAsia"/>
                <w:color w:val="auto"/>
                <w:sz w:val="24"/>
              </w:rPr>
              <w:t>依据对可能发生事故场所、设施及周围情况的分析结果，确定以</w:t>
            </w:r>
          </w:p>
          <w:p w14:paraId="278DC692">
            <w:pPr>
              <w:spacing w:line="360" w:lineRule="auto"/>
              <w:ind w:firstLine="480" w:firstLineChars="200"/>
              <w:rPr>
                <w:color w:val="auto"/>
                <w:sz w:val="24"/>
              </w:rPr>
            </w:pPr>
            <w:r>
              <w:rPr>
                <w:rFonts w:hint="eastAsia"/>
                <w:color w:val="auto"/>
                <w:sz w:val="24"/>
              </w:rPr>
              <w:t>G、危险区的隔离</w:t>
            </w:r>
          </w:p>
          <w:p w14:paraId="45D2B3E3">
            <w:pPr>
              <w:spacing w:line="360" w:lineRule="auto"/>
              <w:ind w:firstLine="480" w:firstLineChars="200"/>
              <w:rPr>
                <w:color w:val="auto"/>
                <w:sz w:val="24"/>
              </w:rPr>
            </w:pPr>
            <w:r>
              <w:rPr>
                <w:rFonts w:hint="eastAsia"/>
                <w:color w:val="auto"/>
                <w:sz w:val="24"/>
              </w:rPr>
              <w:t>依据可能发生的事故类别、危害程度级别，确定以下内容：危险区的设定；事故现场隔离区的划定方式、方法；事故现场隔离方法。</w:t>
            </w:r>
          </w:p>
          <w:p w14:paraId="3FE9A9D6">
            <w:pPr>
              <w:spacing w:line="360" w:lineRule="auto"/>
              <w:ind w:firstLine="480" w:firstLineChars="200"/>
              <w:rPr>
                <w:color w:val="auto"/>
                <w:sz w:val="24"/>
              </w:rPr>
            </w:pPr>
            <w:r>
              <w:rPr>
                <w:rFonts w:hint="eastAsia"/>
                <w:color w:val="auto"/>
                <w:sz w:val="24"/>
              </w:rPr>
              <w:t>H、检测、抢险、救援及控制措施</w:t>
            </w:r>
          </w:p>
          <w:p w14:paraId="16D0FA4A">
            <w:pPr>
              <w:spacing w:line="360" w:lineRule="auto"/>
              <w:ind w:firstLine="480" w:firstLineChars="200"/>
              <w:rPr>
                <w:color w:val="auto"/>
                <w:sz w:val="24"/>
              </w:rPr>
            </w:pPr>
            <w:r>
              <w:rPr>
                <w:rFonts w:hint="eastAsia"/>
                <w:color w:val="auto"/>
                <w:sz w:val="24"/>
              </w:rPr>
              <w:t>依据有关国家标准和现有资源的评估结果，确定以下内容：检测的方式、方法及检测人员防护、监护措施；抢险、救援方式、方法及人员的防护、监护措施； 现场实时监测及异常情况下抢险人员的撤离条件、方法；应急救援队伍的调度； 控制事故扩大的措施；事故可能扩大后的应急措施。</w:t>
            </w:r>
          </w:p>
          <w:p w14:paraId="0B883B2A">
            <w:pPr>
              <w:spacing w:line="360" w:lineRule="auto"/>
              <w:ind w:firstLine="480" w:firstLineChars="200"/>
              <w:rPr>
                <w:color w:val="auto"/>
                <w:sz w:val="24"/>
              </w:rPr>
            </w:pPr>
            <w:r>
              <w:rPr>
                <w:rFonts w:hint="eastAsia"/>
                <w:color w:val="auto"/>
                <w:sz w:val="24"/>
              </w:rPr>
              <w:t>I、受伤人员现场救护、医院救治</w:t>
            </w:r>
          </w:p>
          <w:p w14:paraId="69C0E4CC">
            <w:pPr>
              <w:spacing w:line="360" w:lineRule="auto"/>
              <w:ind w:firstLine="480" w:firstLineChars="200"/>
              <w:rPr>
                <w:color w:val="auto"/>
                <w:sz w:val="24"/>
              </w:rPr>
            </w:pPr>
            <w:r>
              <w:rPr>
                <w:rFonts w:hint="eastAsia"/>
                <w:color w:val="auto"/>
                <w:sz w:val="24"/>
              </w:rPr>
              <w:t>依据对可能发生的事故现场情况分析结果、附近地区医疗机构的设置情况的综合分析结果，确定以下内容：伤亡人员的转移路线、方法；受伤人员现场处置措施；受伤人员进人医院前的抢救措施；选定的受伤人员救治医院；提供受伤人员的致伤信息。</w:t>
            </w:r>
          </w:p>
          <w:p w14:paraId="27390FE1">
            <w:pPr>
              <w:spacing w:line="360" w:lineRule="auto"/>
              <w:ind w:firstLine="480" w:firstLineChars="200"/>
              <w:rPr>
                <w:color w:val="auto"/>
                <w:sz w:val="24"/>
              </w:rPr>
            </w:pPr>
            <w:r>
              <w:rPr>
                <w:rFonts w:hint="eastAsia"/>
                <w:color w:val="auto"/>
                <w:sz w:val="24"/>
              </w:rPr>
              <w:t>企业应本项目应急预案与当地政府应急预案结合，建立应急救援预案联动机制，依托当地消防、公安等政府救援力量，确保在风险发生时能够及时、迅速的响应和处理。</w:t>
            </w:r>
          </w:p>
          <w:p w14:paraId="5626E283">
            <w:pPr>
              <w:spacing w:line="360" w:lineRule="auto"/>
              <w:ind w:firstLine="480" w:firstLineChars="200"/>
              <w:rPr>
                <w:color w:val="auto"/>
                <w:sz w:val="24"/>
              </w:rPr>
            </w:pPr>
            <w:r>
              <w:rPr>
                <w:rFonts w:hint="eastAsia"/>
                <w:color w:val="auto"/>
                <w:sz w:val="24"/>
              </w:rPr>
              <w:t>（3）地下水风险污染事故应急预案</w:t>
            </w:r>
          </w:p>
          <w:p w14:paraId="44039ED5">
            <w:pPr>
              <w:spacing w:line="360" w:lineRule="auto"/>
              <w:ind w:firstLine="480" w:firstLineChars="200"/>
              <w:rPr>
                <w:color w:val="auto"/>
                <w:sz w:val="24"/>
              </w:rPr>
            </w:pPr>
            <w:r>
              <w:rPr>
                <w:rFonts w:hint="eastAsia"/>
                <w:color w:val="auto"/>
                <w:sz w:val="24"/>
              </w:rPr>
              <w:t>若发生突然泄漏事故对地下水造成污染时，可采取在现场去除污染物和地下水下游设置水力屏障，即通过抽水井大强度抽出被污染的地下水，防止污染地下水向下游扩散，具体措施如下：</w:t>
            </w:r>
          </w:p>
          <w:p w14:paraId="00CECD88">
            <w:pPr>
              <w:spacing w:line="360" w:lineRule="auto"/>
              <w:ind w:firstLine="480" w:firstLineChars="200"/>
              <w:rPr>
                <w:color w:val="auto"/>
                <w:sz w:val="24"/>
              </w:rPr>
            </w:pPr>
            <w:r>
              <w:rPr>
                <w:rFonts w:hint="eastAsia"/>
                <w:color w:val="auto"/>
                <w:sz w:val="24"/>
              </w:rPr>
              <w:t>①在发生污染处，采取工程措施，将污染处的污物及时清理，装运集中后进行排污降污处理。</w:t>
            </w:r>
          </w:p>
          <w:p w14:paraId="67939D53">
            <w:pPr>
              <w:spacing w:line="360" w:lineRule="auto"/>
              <w:ind w:firstLine="480" w:firstLineChars="200"/>
              <w:rPr>
                <w:color w:val="auto"/>
                <w:sz w:val="24"/>
              </w:rPr>
            </w:pPr>
            <w:r>
              <w:rPr>
                <w:rFonts w:hint="eastAsia"/>
                <w:color w:val="auto"/>
                <w:sz w:val="24"/>
              </w:rPr>
              <w:t>②发生突然泄漏事故后，首先围绕泄漏点，依据现有监测井测量地下水位标高，找出现状地下水的下游方向，根据情况设置具体事故应急方案。</w:t>
            </w:r>
          </w:p>
          <w:p w14:paraId="79CAC85F">
            <w:pPr>
              <w:pStyle w:val="30"/>
              <w:ind w:left="0" w:leftChars="0" w:firstLine="0" w:firstLineChars="0"/>
              <w:rPr>
                <w:rFonts w:hint="eastAsia" w:eastAsia="宋体" w:cs="Times New Roman"/>
                <w:color w:val="auto"/>
                <w:sz w:val="24"/>
                <w:lang w:val="en-US" w:eastAsia="zh-CN"/>
              </w:rPr>
            </w:pPr>
            <w:r>
              <w:rPr>
                <w:rFonts w:hint="eastAsia"/>
                <w:color w:val="auto"/>
                <w:sz w:val="24"/>
              </w:rPr>
              <w:t>③在抽排水过程中，采取地下水样，对污染特征因子进行化验监测，取样检测间隔为每天一次，直到水质监测符合要求后，再抽排两天为止。</w:t>
            </w:r>
          </w:p>
        </w:tc>
      </w:tr>
      <w:tr w14:paraId="7F79BA2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525" w:type="dxa"/>
            <w:tcMar>
              <w:left w:w="28" w:type="dxa"/>
              <w:right w:w="28" w:type="dxa"/>
            </w:tcMar>
            <w:vAlign w:val="center"/>
          </w:tcPr>
          <w:p w14:paraId="3966E59B">
            <w:pPr>
              <w:spacing w:line="360" w:lineRule="auto"/>
              <w:jc w:val="center"/>
              <w:rPr>
                <w:rFonts w:eastAsia="Times New Roman"/>
                <w:color w:val="auto"/>
                <w:sz w:val="24"/>
              </w:rPr>
            </w:pPr>
            <w:r>
              <w:rPr>
                <w:rFonts w:eastAsia="Times New Roman"/>
                <w:color w:val="auto"/>
                <w:sz w:val="24"/>
              </w:rPr>
              <w:t>选址选线环境合理性分析</w:t>
            </w:r>
          </w:p>
        </w:tc>
        <w:tc>
          <w:tcPr>
            <w:tcW w:w="8352" w:type="dxa"/>
          </w:tcPr>
          <w:p w14:paraId="2B27A382">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本项目位于</w:t>
            </w:r>
            <w:r>
              <w:rPr>
                <w:rFonts w:hint="eastAsia" w:ascii="Times New Roman" w:hAnsi="Times New Roman" w:eastAsia="Times New Roman" w:cs="Times New Roman"/>
                <w:color w:val="auto"/>
                <w:sz w:val="24"/>
              </w:rPr>
              <w:t>内蒙古自治区呼伦贝尔市鄂温克族自治旗</w:t>
            </w:r>
            <w:r>
              <w:rPr>
                <w:rFonts w:hint="eastAsia" w:eastAsia="Times New Roman"/>
                <w:color w:val="auto"/>
                <w:sz w:val="24"/>
                <w:szCs w:val="24"/>
                <w:lang w:val="en-US" w:eastAsia="zh-CN"/>
              </w:rPr>
              <w:t>锡尼河东苏木敏东一矿工业场地内</w:t>
            </w:r>
            <w:r>
              <w:rPr>
                <w:rFonts w:hint="eastAsia" w:ascii="Times New Roman" w:hAnsi="Times New Roman" w:eastAsia="宋体" w:cs="Times New Roman"/>
                <w:color w:val="auto"/>
                <w:sz w:val="24"/>
                <w:lang w:val="en-US" w:eastAsia="zh-CN"/>
              </w:rPr>
              <w:t>，</w:t>
            </w:r>
            <w:r>
              <w:rPr>
                <w:color w:val="auto"/>
                <w:sz w:val="24"/>
              </w:rPr>
              <w:t>本项目周边无自然保护区、风景名胜区、饮用水源地等特殊敏感保护地，区域为工矿区生态环境，植被稀少，未发现珍稀野生动物和保护植物，区域生态环境敏感度低。</w:t>
            </w:r>
            <w:r>
              <w:rPr>
                <w:rFonts w:hint="eastAsia"/>
                <w:color w:val="auto"/>
                <w:sz w:val="24"/>
                <w:lang w:val="en-US" w:eastAsia="zh-CN"/>
              </w:rPr>
              <w:t>项目区和最近的居民区距离较远，因此，本项目选址合理</w:t>
            </w:r>
            <w:r>
              <w:rPr>
                <w:rFonts w:hint="eastAsia" w:ascii="Times New Roman" w:hAnsi="Times New Roman" w:eastAsia="宋体" w:cs="Times New Roman"/>
                <w:color w:val="auto"/>
                <w:sz w:val="24"/>
                <w:lang w:val="en-US" w:eastAsia="zh-CN"/>
              </w:rPr>
              <w:t>。</w:t>
            </w:r>
          </w:p>
          <w:p w14:paraId="2A5FFDA9">
            <w:pPr>
              <w:pStyle w:val="18"/>
              <w:ind w:left="0" w:leftChars="0" w:firstLine="0" w:firstLineChars="0"/>
              <w:rPr>
                <w:rFonts w:hint="eastAsia" w:ascii="Times New Roman" w:hAnsi="Times New Roman" w:eastAsia="宋体" w:cs="Times New Roman"/>
                <w:color w:val="auto"/>
                <w:sz w:val="24"/>
                <w:lang w:val="en-US" w:eastAsia="zh-CN"/>
              </w:rPr>
            </w:pPr>
          </w:p>
          <w:p w14:paraId="463190C3">
            <w:pPr>
              <w:pStyle w:val="18"/>
              <w:ind w:left="0" w:leftChars="0" w:firstLine="0" w:firstLineChars="0"/>
              <w:rPr>
                <w:color w:val="auto"/>
              </w:rPr>
            </w:pPr>
          </w:p>
          <w:p w14:paraId="2B3A66A0">
            <w:pPr>
              <w:pStyle w:val="17"/>
              <w:rPr>
                <w:color w:val="auto"/>
              </w:rPr>
            </w:pPr>
          </w:p>
          <w:p w14:paraId="5C5D65CC">
            <w:pPr>
              <w:rPr>
                <w:color w:val="auto"/>
              </w:rPr>
            </w:pPr>
          </w:p>
          <w:p w14:paraId="355832D7">
            <w:pPr>
              <w:pStyle w:val="5"/>
              <w:rPr>
                <w:color w:val="auto"/>
              </w:rPr>
            </w:pPr>
          </w:p>
          <w:p w14:paraId="6B792095">
            <w:pPr>
              <w:pStyle w:val="3"/>
              <w:rPr>
                <w:color w:val="auto"/>
              </w:rPr>
            </w:pPr>
          </w:p>
          <w:p w14:paraId="243DBCCC">
            <w:pPr>
              <w:rPr>
                <w:color w:val="auto"/>
              </w:rPr>
            </w:pPr>
          </w:p>
          <w:p w14:paraId="20D6E8BC">
            <w:pPr>
              <w:pStyle w:val="5"/>
              <w:rPr>
                <w:color w:val="auto"/>
              </w:rPr>
            </w:pPr>
          </w:p>
          <w:p w14:paraId="033A8038">
            <w:pPr>
              <w:pStyle w:val="3"/>
              <w:rPr>
                <w:color w:val="auto"/>
              </w:rPr>
            </w:pPr>
          </w:p>
          <w:p w14:paraId="50033E38">
            <w:pPr>
              <w:rPr>
                <w:color w:val="auto"/>
              </w:rPr>
            </w:pPr>
          </w:p>
          <w:p w14:paraId="26EB4F49">
            <w:pPr>
              <w:pStyle w:val="5"/>
              <w:rPr>
                <w:color w:val="auto"/>
              </w:rPr>
            </w:pPr>
          </w:p>
          <w:p w14:paraId="248CA9F2">
            <w:pPr>
              <w:pStyle w:val="3"/>
              <w:rPr>
                <w:color w:val="auto"/>
              </w:rPr>
            </w:pPr>
          </w:p>
          <w:p w14:paraId="10AEE45F">
            <w:pPr>
              <w:rPr>
                <w:color w:val="auto"/>
              </w:rPr>
            </w:pPr>
          </w:p>
          <w:p w14:paraId="60020E39">
            <w:pPr>
              <w:pStyle w:val="5"/>
              <w:rPr>
                <w:color w:val="auto"/>
              </w:rPr>
            </w:pPr>
          </w:p>
          <w:p w14:paraId="0D2AE464">
            <w:pPr>
              <w:pStyle w:val="3"/>
              <w:rPr>
                <w:color w:val="auto"/>
              </w:rPr>
            </w:pPr>
          </w:p>
          <w:p w14:paraId="2891A79B">
            <w:pPr>
              <w:rPr>
                <w:color w:val="auto"/>
              </w:rPr>
            </w:pPr>
          </w:p>
          <w:p w14:paraId="2A54D095">
            <w:pPr>
              <w:pStyle w:val="5"/>
              <w:ind w:left="0" w:leftChars="0" w:firstLine="0" w:firstLineChars="0"/>
              <w:rPr>
                <w:color w:val="auto"/>
              </w:rPr>
            </w:pPr>
          </w:p>
        </w:tc>
      </w:tr>
    </w:tbl>
    <w:p w14:paraId="0045B70A">
      <w:pPr>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6FC40B9B">
      <w:pPr>
        <w:pStyle w:val="2"/>
        <w:spacing w:line="360" w:lineRule="auto"/>
        <w:jc w:val="center"/>
        <w:rPr>
          <w:rFonts w:eastAsia="Times New Roman"/>
          <w:color w:val="auto"/>
          <w:sz w:val="32"/>
          <w:szCs w:val="32"/>
        </w:rPr>
      </w:pPr>
      <w:r>
        <w:rPr>
          <w:rFonts w:eastAsia="Times New Roman"/>
          <w:color w:val="auto"/>
          <w:sz w:val="32"/>
          <w:szCs w:val="32"/>
        </w:rPr>
        <w:t>五、主要生态环境保护措施</w:t>
      </w:r>
    </w:p>
    <w:tbl>
      <w:tblPr>
        <w:tblStyle w:val="19"/>
        <w:tblW w:w="891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651"/>
        <w:gridCol w:w="8260"/>
      </w:tblGrid>
      <w:tr w14:paraId="1539FBD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651" w:type="dxa"/>
            <w:tcMar>
              <w:left w:w="28" w:type="dxa"/>
              <w:right w:w="28" w:type="dxa"/>
            </w:tcMar>
            <w:vAlign w:val="center"/>
          </w:tcPr>
          <w:p w14:paraId="0552390D">
            <w:pPr>
              <w:spacing w:line="360" w:lineRule="auto"/>
              <w:jc w:val="center"/>
              <w:rPr>
                <w:rFonts w:eastAsia="Times New Roman"/>
                <w:color w:val="auto"/>
                <w:sz w:val="24"/>
              </w:rPr>
            </w:pPr>
            <w:r>
              <w:rPr>
                <w:rFonts w:eastAsia="Times New Roman"/>
                <w:color w:val="auto"/>
                <w:sz w:val="24"/>
              </w:rPr>
              <w:t>施工期生态环境保护措施</w:t>
            </w:r>
          </w:p>
        </w:tc>
        <w:tc>
          <w:tcPr>
            <w:tcW w:w="8260" w:type="dxa"/>
          </w:tcPr>
          <w:p w14:paraId="1C827729">
            <w:pPr>
              <w:spacing w:line="360" w:lineRule="auto"/>
              <w:ind w:firstLine="482"/>
              <w:rPr>
                <w:rFonts w:eastAsia="Times New Roman"/>
                <w:b/>
                <w:color w:val="auto"/>
                <w:sz w:val="24"/>
              </w:rPr>
            </w:pPr>
            <w:r>
              <w:rPr>
                <w:rFonts w:eastAsia="Times New Roman"/>
                <w:b/>
                <w:color w:val="auto"/>
                <w:sz w:val="24"/>
              </w:rPr>
              <w:t>1、生态环境保护措施</w:t>
            </w:r>
          </w:p>
          <w:p w14:paraId="79D7BB89">
            <w:pPr>
              <w:spacing w:line="360" w:lineRule="auto"/>
              <w:ind w:firstLine="480" w:firstLineChars="200"/>
              <w:rPr>
                <w:rFonts w:hint="default" w:eastAsia="宋体" w:cs="Times New Roman"/>
                <w:color w:val="auto"/>
                <w:sz w:val="24"/>
                <w:szCs w:val="24"/>
                <w:lang w:val="en-US" w:eastAsia="zh-CN"/>
              </w:rPr>
            </w:pPr>
            <w:r>
              <w:rPr>
                <w:rFonts w:hint="eastAsia" w:eastAsia="宋体" w:cs="Times New Roman"/>
                <w:color w:val="auto"/>
                <w:sz w:val="24"/>
                <w:szCs w:val="24"/>
                <w:lang w:val="en-US" w:eastAsia="zh-CN"/>
              </w:rPr>
              <w:t>1.1施工保护措施</w:t>
            </w:r>
          </w:p>
          <w:p w14:paraId="7314ADBB">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施工前做好土石方平衡，严格控制施工线路，施工范围，避免对施工区外的生态环境造成破坏，减少土石方的开挖。</w:t>
            </w:r>
          </w:p>
          <w:p w14:paraId="7B137D8C">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①项目基坑开挖尽量避免在雨季进行施工，开挖土石方应尽快回填。</w:t>
            </w:r>
          </w:p>
          <w:p w14:paraId="067834E3">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②在施工场地建排水沟，防止雨水冲刷场地，并在排水沟出口处设沉淀池，使雨水经沉淀池澄清后回用，尽量减少施工期水土流失。</w:t>
            </w:r>
          </w:p>
          <w:p w14:paraId="1F78A3A1">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③严格按照设计要求中指定地点堆放临时工程表土，剥离表土</w:t>
            </w:r>
            <w:r>
              <w:rPr>
                <w:rFonts w:hint="eastAsia" w:cs="Times New Roman"/>
                <w:color w:val="auto"/>
                <w:sz w:val="24"/>
                <w:szCs w:val="24"/>
                <w:lang w:eastAsia="zh-CN"/>
              </w:rPr>
              <w:t>集中暂存施工场地周围</w:t>
            </w:r>
            <w:r>
              <w:rPr>
                <w:rFonts w:hint="eastAsia" w:eastAsia="宋体" w:cs="Times New Roman"/>
                <w:color w:val="auto"/>
                <w:sz w:val="24"/>
                <w:szCs w:val="24"/>
              </w:rPr>
              <w:t>，工程结束后，尽快实施施工迹地恢复，及时栽种绿化植被，减少裸露地表，防止水土流失。</w:t>
            </w:r>
          </w:p>
          <w:p w14:paraId="5E6DB964">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④动工前在项目周边修建临时围挡、及时夯实回填土、及时绿化、施工道路采用砂石路面。</w:t>
            </w:r>
          </w:p>
          <w:p w14:paraId="40931B59">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⑤各种临时占地在工程完成后应尽快进行植被恢复，做到边使用边平整边恢复，恢复后应达到破坏前的植被覆盖率。</w:t>
            </w:r>
          </w:p>
          <w:p w14:paraId="262A6E82">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⑥施工期结束后，厂区内将尽可能增加绿化，以改善周围的生态环境。</w:t>
            </w:r>
          </w:p>
          <w:p w14:paraId="47ED01EC">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⑦施工期应控制在施工用地范围内进行，不得越界施工。</w:t>
            </w:r>
          </w:p>
          <w:p w14:paraId="2A948A92">
            <w:pPr>
              <w:spacing w:line="360" w:lineRule="auto"/>
              <w:ind w:firstLine="480" w:firstLineChars="200"/>
              <w:rPr>
                <w:rFonts w:hint="eastAsia" w:eastAsia="宋体" w:cs="Times New Roman"/>
                <w:color w:val="auto"/>
                <w:sz w:val="24"/>
                <w:szCs w:val="24"/>
                <w:lang w:eastAsia="zh-CN"/>
              </w:rPr>
            </w:pPr>
            <w:r>
              <w:rPr>
                <w:rFonts w:hint="eastAsia" w:eastAsia="宋体" w:cs="Times New Roman"/>
                <w:color w:val="auto"/>
                <w:sz w:val="24"/>
                <w:szCs w:val="24"/>
              </w:rPr>
              <w:t>⑧</w:t>
            </w:r>
            <w:r>
              <w:rPr>
                <w:rFonts w:hint="eastAsia" w:eastAsia="宋体" w:cs="Times New Roman"/>
                <w:color w:val="auto"/>
                <w:sz w:val="24"/>
                <w:szCs w:val="24"/>
                <w:lang w:val="en-US" w:eastAsia="zh-CN"/>
              </w:rPr>
              <w:t>永久占地</w:t>
            </w:r>
            <w:r>
              <w:rPr>
                <w:rFonts w:hint="eastAsia" w:eastAsia="宋体" w:cs="Times New Roman"/>
                <w:color w:val="auto"/>
                <w:sz w:val="24"/>
                <w:szCs w:val="24"/>
              </w:rPr>
              <w:t>表面硬化，铺设排水系统和废水收集系统，并采取保证乔灌草存活率，对植被养护管理</w:t>
            </w:r>
            <w:r>
              <w:rPr>
                <w:rFonts w:hint="eastAsia" w:eastAsia="宋体" w:cs="Times New Roman"/>
                <w:color w:val="auto"/>
                <w:sz w:val="24"/>
                <w:szCs w:val="24"/>
                <w:lang w:eastAsia="zh-CN"/>
              </w:rPr>
              <w:t>。</w:t>
            </w:r>
          </w:p>
          <w:p w14:paraId="57F18E85">
            <w:pPr>
              <w:spacing w:line="360" w:lineRule="auto"/>
              <w:ind w:firstLine="480" w:firstLineChars="200"/>
              <w:rPr>
                <w:rFonts w:hint="default" w:eastAsia="宋体" w:cs="Times New Roman"/>
                <w:color w:val="auto"/>
                <w:sz w:val="24"/>
                <w:szCs w:val="24"/>
                <w:lang w:val="en-US" w:eastAsia="zh-CN"/>
              </w:rPr>
            </w:pPr>
            <w:r>
              <w:rPr>
                <w:rFonts w:hint="eastAsia" w:eastAsia="宋体" w:cs="Times New Roman"/>
                <w:color w:val="auto"/>
                <w:sz w:val="24"/>
                <w:szCs w:val="24"/>
                <w:lang w:eastAsia="zh-CN"/>
              </w:rPr>
              <w:t>⑨</w:t>
            </w:r>
            <w:r>
              <w:rPr>
                <w:rFonts w:hint="eastAsia" w:eastAsia="宋体" w:cs="Times New Roman"/>
                <w:color w:val="auto"/>
                <w:sz w:val="24"/>
                <w:szCs w:val="24"/>
                <w:lang w:val="en-US" w:eastAsia="zh-CN"/>
              </w:rPr>
              <w:t>道路两侧种植当地优势植被进行绿化。</w:t>
            </w:r>
          </w:p>
          <w:p w14:paraId="1A0AAE19">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lang w:eastAsia="zh-CN"/>
              </w:rPr>
              <w:t>⑩</w:t>
            </w:r>
            <w:r>
              <w:rPr>
                <w:rFonts w:hint="eastAsia" w:eastAsia="宋体" w:cs="Times New Roman"/>
                <w:color w:val="auto"/>
                <w:sz w:val="24"/>
                <w:szCs w:val="24"/>
              </w:rPr>
              <w:t>加强对施工人员的教育，不得对施工范围外的动植物进行破坏，不得将固废抛洒到附近的河道水体内。</w:t>
            </w:r>
          </w:p>
          <w:p w14:paraId="7B5D5A65">
            <w:pPr>
              <w:spacing w:line="360" w:lineRule="auto"/>
              <w:ind w:firstLine="480" w:firstLineChars="200"/>
              <w:rPr>
                <w:rFonts w:hint="default" w:eastAsia="宋体" w:cs="Times New Roman"/>
                <w:color w:val="auto"/>
                <w:sz w:val="24"/>
                <w:szCs w:val="24"/>
                <w:lang w:val="en-US" w:eastAsia="zh-CN"/>
              </w:rPr>
            </w:pPr>
            <w:r>
              <w:rPr>
                <w:rFonts w:hint="eastAsia" w:eastAsia="宋体" w:cs="Times New Roman"/>
                <w:color w:val="auto"/>
                <w:sz w:val="24"/>
                <w:szCs w:val="24"/>
                <w:lang w:val="en-US" w:eastAsia="zh-CN"/>
              </w:rPr>
              <w:t>项目建成后，对施工占地进行植被恢复，临时占地植被盖度不低于60%，永久占地植被盖度不低于30%</w:t>
            </w:r>
            <w:r>
              <w:rPr>
                <w:rFonts w:hint="default" w:eastAsia="宋体" w:cs="Times New Roman"/>
                <w:color w:val="auto"/>
                <w:sz w:val="24"/>
                <w:szCs w:val="24"/>
                <w:lang w:val="en-US" w:eastAsia="zh-CN"/>
              </w:rPr>
              <w:t>。</w:t>
            </w:r>
          </w:p>
          <w:p w14:paraId="142F491D">
            <w:pPr>
              <w:spacing w:line="360" w:lineRule="auto"/>
              <w:ind w:firstLine="480" w:firstLineChars="200"/>
              <w:rPr>
                <w:rFonts w:hint="default" w:eastAsia="宋体" w:cs="Times New Roman"/>
                <w:color w:val="auto"/>
                <w:sz w:val="24"/>
                <w:szCs w:val="24"/>
                <w:lang w:val="en-US" w:eastAsia="zh-CN"/>
              </w:rPr>
            </w:pPr>
            <w:r>
              <w:rPr>
                <w:rFonts w:hint="default" w:eastAsia="宋体" w:cs="Times New Roman"/>
                <w:color w:val="auto"/>
                <w:sz w:val="24"/>
                <w:szCs w:val="24"/>
                <w:lang w:val="en-US" w:eastAsia="zh-CN"/>
              </w:rPr>
              <w:t>1.</w:t>
            </w:r>
            <w:r>
              <w:rPr>
                <w:rFonts w:hint="eastAsia" w:eastAsia="宋体" w:cs="Times New Roman"/>
                <w:color w:val="auto"/>
                <w:sz w:val="24"/>
                <w:szCs w:val="24"/>
                <w:lang w:val="en-US" w:eastAsia="zh-CN"/>
              </w:rPr>
              <w:t>2</w:t>
            </w:r>
            <w:r>
              <w:rPr>
                <w:rFonts w:hint="default" w:eastAsia="宋体" w:cs="Times New Roman"/>
                <w:color w:val="auto"/>
                <w:sz w:val="24"/>
                <w:szCs w:val="24"/>
                <w:lang w:val="en-US" w:eastAsia="zh-CN"/>
              </w:rPr>
              <w:t>其他保护措施</w:t>
            </w:r>
          </w:p>
          <w:p w14:paraId="78D2A069">
            <w:pPr>
              <w:spacing w:line="360" w:lineRule="auto"/>
              <w:ind w:firstLine="480" w:firstLineChars="200"/>
              <w:rPr>
                <w:rFonts w:hint="default" w:eastAsia="宋体" w:cs="Times New Roman"/>
                <w:color w:val="auto"/>
                <w:sz w:val="24"/>
                <w:szCs w:val="24"/>
                <w:lang w:val="en-US" w:eastAsia="zh-CN"/>
              </w:rPr>
            </w:pPr>
            <w:r>
              <w:rPr>
                <w:rFonts w:hint="default" w:eastAsia="宋体" w:cs="Times New Roman"/>
                <w:color w:val="auto"/>
                <w:sz w:val="24"/>
                <w:szCs w:val="24"/>
                <w:lang w:val="en-US" w:eastAsia="zh-CN"/>
              </w:rPr>
              <w:t>（1）加强对承包商的环保教育，施工过程中严禁施工人员在施工范围外私自占地堆放施工机械或建筑材料；严禁施工人员在施工区域以外的绿地活动，特别是采挖、破坏植被。</w:t>
            </w:r>
          </w:p>
          <w:p w14:paraId="3DAD7611">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2）在修筑路基时应尽量做到挖填平衡，施工时先将表层砾石层剥离一边，取土结束后将砾石重新覆盖。做好临时拦挡、排水和覆盖措施。浅丘区产生的弃渣（石渣）可用于覆盖扰动地面。施工结束后，恢复原地貌。</w:t>
            </w:r>
          </w:p>
          <w:p w14:paraId="7D43BEFA">
            <w:pPr>
              <w:spacing w:line="360" w:lineRule="auto"/>
              <w:ind w:firstLine="482"/>
              <w:rPr>
                <w:rFonts w:hint="default" w:eastAsia="Times New Roman"/>
                <w:b/>
                <w:color w:val="auto"/>
                <w:sz w:val="24"/>
                <w:lang w:val="en-US" w:eastAsia="zh-CN"/>
              </w:rPr>
            </w:pPr>
            <w:r>
              <w:rPr>
                <w:rFonts w:hint="default" w:eastAsia="Times New Roman"/>
                <w:b/>
                <w:color w:val="auto"/>
                <w:sz w:val="24"/>
                <w:lang w:val="en-US" w:eastAsia="zh-CN"/>
              </w:rPr>
              <w:t>2.废气防治措施</w:t>
            </w:r>
          </w:p>
          <w:p w14:paraId="2000C9F0">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施工期废气主要</w:t>
            </w:r>
            <w:r>
              <w:rPr>
                <w:rFonts w:hint="eastAsia" w:eastAsia="宋体" w:cs="Times New Roman"/>
                <w:color w:val="auto"/>
                <w:sz w:val="24"/>
                <w:szCs w:val="24"/>
                <w:lang w:eastAsia="zh-CN"/>
              </w:rPr>
              <w:t>来自</w:t>
            </w:r>
            <w:r>
              <w:rPr>
                <w:rFonts w:hint="default" w:eastAsia="宋体" w:cs="Times New Roman"/>
                <w:color w:val="auto"/>
                <w:sz w:val="24"/>
                <w:szCs w:val="24"/>
              </w:rPr>
              <w:t>施工机械燃油燃烧排放废气及运输车辆扬尘等。施工机械以柴油为燃料，废气中有害物主要有CO、NOx和烃类。</w:t>
            </w:r>
          </w:p>
          <w:p w14:paraId="41A54119">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治理措施：建设时必须做到“六必须</w:t>
            </w:r>
            <w:r>
              <w:rPr>
                <w:rFonts w:hint="eastAsia" w:eastAsia="宋体" w:cs="Times New Roman"/>
                <w:color w:val="auto"/>
                <w:sz w:val="24"/>
                <w:szCs w:val="24"/>
                <w:lang w:eastAsia="zh-CN"/>
              </w:rPr>
              <w:t>”“</w:t>
            </w:r>
            <w:r>
              <w:rPr>
                <w:rFonts w:hint="default" w:eastAsia="宋体" w:cs="Times New Roman"/>
                <w:color w:val="auto"/>
                <w:sz w:val="24"/>
                <w:szCs w:val="24"/>
              </w:rPr>
              <w:t>六不准”：</w:t>
            </w:r>
          </w:p>
          <w:p w14:paraId="5630701A">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a</w:t>
            </w:r>
            <w:r>
              <w:rPr>
                <w:rFonts w:hint="eastAsia" w:eastAsia="宋体" w:cs="Times New Roman"/>
                <w:color w:val="auto"/>
                <w:sz w:val="24"/>
                <w:szCs w:val="24"/>
                <w:lang w:eastAsia="zh-CN"/>
              </w:rPr>
              <w:t>.</w:t>
            </w:r>
            <w:r>
              <w:rPr>
                <w:rFonts w:hint="default" w:eastAsia="宋体" w:cs="Times New Roman"/>
                <w:color w:val="auto"/>
                <w:sz w:val="24"/>
                <w:szCs w:val="24"/>
              </w:rPr>
              <w:t>必须湿法作业，必须打围作业，必须硬化道路，必须设置冲洗设施、设备，必须配齐保洁人员，必须定时清扫施工现场；</w:t>
            </w:r>
          </w:p>
          <w:p w14:paraId="188E72ED">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b</w:t>
            </w:r>
            <w:r>
              <w:rPr>
                <w:rFonts w:hint="eastAsia" w:eastAsia="宋体" w:cs="Times New Roman"/>
                <w:color w:val="auto"/>
                <w:sz w:val="24"/>
                <w:szCs w:val="24"/>
                <w:lang w:eastAsia="zh-CN"/>
              </w:rPr>
              <w:t>.</w:t>
            </w:r>
            <w:r>
              <w:rPr>
                <w:rFonts w:hint="default" w:eastAsia="宋体" w:cs="Times New Roman"/>
                <w:color w:val="auto"/>
                <w:sz w:val="24"/>
                <w:szCs w:val="24"/>
              </w:rPr>
              <w:t>不准车辆带泥出门，不准运渣车辆超载，不准高空抛撒建渣，不准现场搅拌混凝土，不准场地积水，不准现场焚烧废弃物。禁止在大风天气进行作业。临时堆场采用塑料篷布进行遮盖；建筑、原料运输车辆应进行覆盖。</w:t>
            </w:r>
          </w:p>
          <w:p w14:paraId="0E70EBE5">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c</w:t>
            </w:r>
            <w:r>
              <w:rPr>
                <w:rFonts w:hint="eastAsia" w:eastAsia="宋体" w:cs="Times New Roman"/>
                <w:color w:val="auto"/>
                <w:sz w:val="24"/>
                <w:szCs w:val="24"/>
                <w:lang w:eastAsia="zh-CN"/>
              </w:rPr>
              <w:t>.</w:t>
            </w:r>
            <w:r>
              <w:rPr>
                <w:rFonts w:hint="default" w:eastAsia="宋体" w:cs="Times New Roman"/>
                <w:color w:val="auto"/>
                <w:sz w:val="24"/>
                <w:szCs w:val="24"/>
              </w:rPr>
              <w:t>在施工期间安排职工定期对施工场地进行洒水降尘，洒水次数根据实际天气状况确定，一般每天洒水1</w:t>
            </w:r>
            <w:r>
              <w:rPr>
                <w:rFonts w:hint="eastAsia" w:eastAsia="宋体" w:cs="Times New Roman"/>
                <w:color w:val="auto"/>
                <w:sz w:val="24"/>
                <w:szCs w:val="24"/>
                <w:lang w:eastAsia="zh-CN"/>
              </w:rPr>
              <w:t>～</w:t>
            </w:r>
            <w:r>
              <w:rPr>
                <w:rFonts w:hint="default" w:eastAsia="宋体" w:cs="Times New Roman"/>
                <w:color w:val="auto"/>
                <w:sz w:val="24"/>
                <w:szCs w:val="24"/>
              </w:rPr>
              <w:t>2次，若遇大风或干燥天气可适当减少或增加洒水次数；</w:t>
            </w:r>
          </w:p>
          <w:p w14:paraId="336E4032">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d</w:t>
            </w:r>
            <w:r>
              <w:rPr>
                <w:rFonts w:hint="eastAsia" w:eastAsia="宋体" w:cs="Times New Roman"/>
                <w:color w:val="auto"/>
                <w:sz w:val="24"/>
                <w:szCs w:val="24"/>
                <w:lang w:eastAsia="zh-CN"/>
              </w:rPr>
              <w:t>.</w:t>
            </w:r>
            <w:r>
              <w:rPr>
                <w:rFonts w:hint="default" w:eastAsia="宋体" w:cs="Times New Roman"/>
                <w:color w:val="auto"/>
                <w:sz w:val="24"/>
                <w:szCs w:val="24"/>
              </w:rPr>
              <w:t>施工期间对施工场地进行封闭，以减少施工过程中扬尘四处飞扬，降低施工扬尘向大气排放；</w:t>
            </w:r>
          </w:p>
          <w:p w14:paraId="2C1D8C1E">
            <w:pPr>
              <w:spacing w:line="360" w:lineRule="auto"/>
              <w:ind w:firstLine="480" w:firstLineChars="200"/>
              <w:rPr>
                <w:rFonts w:hint="default" w:eastAsia="宋体" w:cs="Times New Roman"/>
                <w:color w:val="auto"/>
                <w:sz w:val="24"/>
                <w:szCs w:val="24"/>
              </w:rPr>
            </w:pPr>
            <w:r>
              <w:rPr>
                <w:rFonts w:hint="default" w:eastAsia="宋体" w:cs="Times New Roman"/>
                <w:color w:val="auto"/>
                <w:sz w:val="24"/>
                <w:szCs w:val="24"/>
              </w:rPr>
              <w:t>e</w:t>
            </w:r>
            <w:r>
              <w:rPr>
                <w:rFonts w:hint="eastAsia" w:eastAsia="宋体" w:cs="Times New Roman"/>
                <w:color w:val="auto"/>
                <w:sz w:val="24"/>
                <w:szCs w:val="24"/>
                <w:lang w:eastAsia="zh-CN"/>
              </w:rPr>
              <w:t>.</w:t>
            </w:r>
            <w:r>
              <w:rPr>
                <w:rFonts w:hint="default" w:eastAsia="宋体" w:cs="Times New Roman"/>
                <w:color w:val="auto"/>
                <w:sz w:val="24"/>
                <w:szCs w:val="24"/>
              </w:rPr>
              <w:t>在施工场地对施工车辆必须实施限速行驶，禁止超载，选择对项目周边环境影响较小的运输路线，定时对运输路线进行洒水抑尘并清扫。对运输沙、石、水泥、土方、垃圾等易产生扬尘物</w:t>
            </w:r>
            <w:r>
              <w:rPr>
                <w:rFonts w:hint="eastAsia" w:eastAsia="宋体" w:cs="Times New Roman"/>
                <w:color w:val="auto"/>
                <w:sz w:val="24"/>
                <w:szCs w:val="24"/>
                <w:lang w:eastAsia="zh-CN"/>
              </w:rPr>
              <w:t>质的</w:t>
            </w:r>
            <w:r>
              <w:rPr>
                <w:rFonts w:hint="default" w:eastAsia="宋体" w:cs="Times New Roman"/>
                <w:color w:val="auto"/>
                <w:sz w:val="24"/>
                <w:szCs w:val="24"/>
              </w:rPr>
              <w:t>车辆进行覆盖；施工工地运输车辆驶出工地前必须作除泥除尘处理，严禁将泥土尘土带出工地；施工单位在施工期间严格落实本次环评提出的环保措施后，施工期间废气将明显减少，不会对周边环境产生较大影响。</w:t>
            </w:r>
          </w:p>
          <w:p w14:paraId="44E326C2">
            <w:pPr>
              <w:spacing w:line="360" w:lineRule="auto"/>
              <w:ind w:firstLine="482"/>
              <w:rPr>
                <w:rFonts w:hint="default" w:eastAsia="Times New Roman"/>
                <w:b/>
                <w:color w:val="auto"/>
                <w:sz w:val="24"/>
                <w:lang w:val="en-US" w:eastAsia="zh-CN"/>
              </w:rPr>
            </w:pPr>
            <w:r>
              <w:rPr>
                <w:rFonts w:hint="default" w:eastAsia="Times New Roman"/>
                <w:b/>
                <w:color w:val="auto"/>
                <w:sz w:val="24"/>
                <w:lang w:val="en-US" w:eastAsia="zh-CN"/>
              </w:rPr>
              <w:t>3.废水防治措施</w:t>
            </w:r>
          </w:p>
          <w:p w14:paraId="6FFB3AAD">
            <w:pPr>
              <w:spacing w:line="360" w:lineRule="auto"/>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本项目施工废水主要包括矿井涌水、生产废水、生活污水。</w:t>
            </w:r>
          </w:p>
          <w:p w14:paraId="62A4E278">
            <w:pPr>
              <w:spacing w:line="360" w:lineRule="auto"/>
              <w:ind w:firstLine="480"/>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施工单位在现场布置3个沉淀池，单个沉淀池容积为5m×5m×1.5m。施工期间，矿井涌水和生产废水产生量约为60m</w:t>
            </w:r>
            <w:r>
              <w:rPr>
                <w:rFonts w:hint="eastAsia" w:cs="Times New Roman"/>
                <w:color w:val="auto"/>
                <w:sz w:val="24"/>
                <w:szCs w:val="24"/>
                <w:vertAlign w:val="superscript"/>
                <w:lang w:val="en-US" w:eastAsia="zh-CN"/>
              </w:rPr>
              <w:t>3</w:t>
            </w:r>
            <w:r>
              <w:rPr>
                <w:rFonts w:hint="eastAsia" w:cs="Times New Roman"/>
                <w:color w:val="auto"/>
                <w:sz w:val="24"/>
                <w:szCs w:val="24"/>
                <w:lang w:val="en-US" w:eastAsia="zh-CN"/>
              </w:rPr>
              <w:t>/d，矿井涌水及生产废水排至三级沉淀池进行沉淀处理，处理后的废水依托矿区现有矿井涌水处理装置进行处置，处理达到《地表水环境质量标准》（GB3838-2002）</w:t>
            </w:r>
            <w:r>
              <w:rPr>
                <w:rFonts w:hint="eastAsia" w:cs="Times New Roman"/>
                <w:color w:val="auto"/>
                <w:sz w:val="24"/>
                <w:szCs w:val="24"/>
                <w:lang w:val="en-US" w:eastAsia="zh-CN"/>
              </w:rPr>
              <w:fldChar w:fldCharType="begin"/>
            </w:r>
            <w:r>
              <w:rPr>
                <w:rFonts w:hint="eastAsia" w:cs="Times New Roman"/>
                <w:color w:val="auto"/>
                <w:sz w:val="24"/>
                <w:szCs w:val="24"/>
                <w:lang w:val="en-US" w:eastAsia="zh-CN"/>
              </w:rPr>
              <w:instrText xml:space="preserve"> = 3 \* ROMAN \* MERGEFORMAT </w:instrText>
            </w:r>
            <w:r>
              <w:rPr>
                <w:rFonts w:hint="eastAsia" w:cs="Times New Roman"/>
                <w:color w:val="auto"/>
                <w:sz w:val="24"/>
                <w:szCs w:val="24"/>
                <w:lang w:val="en-US" w:eastAsia="zh-CN"/>
              </w:rPr>
              <w:fldChar w:fldCharType="separate"/>
            </w:r>
            <w:r>
              <w:rPr>
                <w:color w:val="auto"/>
                <w:sz w:val="24"/>
                <w:szCs w:val="24"/>
              </w:rPr>
              <w:t>III</w:t>
            </w:r>
            <w:r>
              <w:rPr>
                <w:rFonts w:hint="eastAsia" w:cs="Times New Roman"/>
                <w:color w:val="auto"/>
                <w:sz w:val="24"/>
                <w:szCs w:val="24"/>
                <w:lang w:val="en-US" w:eastAsia="zh-CN"/>
              </w:rPr>
              <w:fldChar w:fldCharType="end"/>
            </w:r>
            <w:r>
              <w:rPr>
                <w:rFonts w:hint="eastAsia" w:cs="Times New Roman"/>
                <w:color w:val="auto"/>
                <w:sz w:val="24"/>
                <w:szCs w:val="24"/>
                <w:lang w:val="en-US" w:eastAsia="zh-CN"/>
              </w:rPr>
              <w:t>类标准后，部分回用于鄂温克电厂用水，部分外排至伊敏河。</w:t>
            </w:r>
          </w:p>
          <w:p w14:paraId="65E8EDE9">
            <w:pPr>
              <w:spacing w:line="360" w:lineRule="auto"/>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Times New Roman" w:cs="Times New Roman"/>
                <w:b w:val="0"/>
                <w:bCs w:val="0"/>
                <w:color w:val="auto"/>
                <w:sz w:val="24"/>
                <w:szCs w:val="24"/>
                <w:lang w:val="en-US" w:eastAsia="zh-CN"/>
              </w:rPr>
              <w:t>生活</w:t>
            </w:r>
            <w:r>
              <w:rPr>
                <w:rFonts w:hint="eastAsia" w:eastAsia="Times New Roman" w:cs="Times New Roman"/>
                <w:b w:val="0"/>
                <w:bCs w:val="0"/>
                <w:color w:val="auto"/>
                <w:sz w:val="24"/>
                <w:szCs w:val="24"/>
                <w:lang w:val="en-US" w:eastAsia="zh-CN"/>
              </w:rPr>
              <w:t>污水依托现有一体化处理设备进行二级处理，</w:t>
            </w:r>
            <w:r>
              <w:rPr>
                <w:rFonts w:hint="eastAsia" w:cs="Times New Roman"/>
                <w:color w:val="auto"/>
                <w:sz w:val="24"/>
                <w:szCs w:val="24"/>
                <w:lang w:val="en-US" w:eastAsia="zh-CN"/>
              </w:rPr>
              <w:t>回用于鄂温克电厂用水</w:t>
            </w:r>
            <w:r>
              <w:rPr>
                <w:rFonts w:hint="eastAsia" w:ascii="Times New Roman" w:hAnsi="Times New Roman" w:eastAsia="宋体" w:cs="Times New Roman"/>
                <w:color w:val="auto"/>
                <w:sz w:val="24"/>
                <w:szCs w:val="24"/>
                <w:lang w:val="en-US" w:eastAsia="zh-CN"/>
              </w:rPr>
              <w:t>。</w:t>
            </w:r>
          </w:p>
          <w:p w14:paraId="229C0AA3">
            <w:pPr>
              <w:spacing w:line="360" w:lineRule="auto"/>
              <w:ind w:firstLine="480" w:firstLineChars="200"/>
              <w:rPr>
                <w:rFonts w:hint="default" w:eastAsia="宋体" w:cs="Times New Roman"/>
                <w:color w:val="auto"/>
                <w:sz w:val="24"/>
                <w:szCs w:val="24"/>
                <w:lang w:eastAsia="zh-CN"/>
              </w:rPr>
            </w:pPr>
            <w:r>
              <w:rPr>
                <w:rFonts w:hint="default" w:eastAsia="宋体" w:cs="Times New Roman"/>
                <w:color w:val="auto"/>
                <w:sz w:val="24"/>
                <w:szCs w:val="24"/>
                <w:lang w:eastAsia="zh-CN"/>
              </w:rPr>
              <w:t>经采取以上措施后，本项目的施工</w:t>
            </w:r>
            <w:r>
              <w:rPr>
                <w:rFonts w:hint="eastAsia" w:eastAsia="宋体" w:cs="Times New Roman"/>
                <w:color w:val="auto"/>
                <w:sz w:val="24"/>
                <w:szCs w:val="24"/>
                <w:lang w:eastAsia="zh-CN"/>
              </w:rPr>
              <w:t>不对</w:t>
            </w:r>
            <w:r>
              <w:rPr>
                <w:rFonts w:hint="default" w:eastAsia="宋体" w:cs="Times New Roman"/>
                <w:color w:val="auto"/>
                <w:sz w:val="24"/>
                <w:szCs w:val="24"/>
                <w:lang w:eastAsia="zh-CN"/>
              </w:rPr>
              <w:t>周边地表水水质造成影响。</w:t>
            </w:r>
          </w:p>
          <w:p w14:paraId="63B5E251">
            <w:pPr>
              <w:spacing w:line="360" w:lineRule="auto"/>
              <w:ind w:firstLine="482" w:firstLineChars="200"/>
              <w:rPr>
                <w:rFonts w:hint="eastAsia" w:eastAsia="宋体" w:cs="Times New Roman"/>
                <w:b/>
                <w:bCs/>
                <w:color w:val="auto"/>
                <w:sz w:val="24"/>
                <w:szCs w:val="24"/>
                <w:lang w:eastAsia="zh-CN"/>
              </w:rPr>
            </w:pPr>
            <w:r>
              <w:rPr>
                <w:rFonts w:hint="eastAsia" w:eastAsia="宋体" w:cs="Times New Roman"/>
                <w:b/>
                <w:bCs/>
                <w:color w:val="auto"/>
                <w:sz w:val="24"/>
                <w:szCs w:val="24"/>
                <w:lang w:val="en-US" w:eastAsia="zh-CN"/>
              </w:rPr>
              <w:t>4.</w:t>
            </w:r>
            <w:r>
              <w:rPr>
                <w:rFonts w:hint="eastAsia" w:eastAsia="宋体" w:cs="Times New Roman"/>
                <w:b/>
                <w:bCs/>
                <w:color w:val="auto"/>
                <w:sz w:val="24"/>
                <w:szCs w:val="24"/>
                <w:lang w:eastAsia="zh-CN"/>
              </w:rPr>
              <w:t>声环境</w:t>
            </w:r>
            <w:r>
              <w:rPr>
                <w:rFonts w:hint="eastAsia" w:eastAsia="宋体" w:cs="Times New Roman"/>
                <w:b/>
                <w:bCs/>
                <w:color w:val="auto"/>
                <w:sz w:val="24"/>
                <w:szCs w:val="24"/>
                <w:lang w:val="en-US" w:eastAsia="zh-CN"/>
              </w:rPr>
              <w:t>保护</w:t>
            </w:r>
            <w:r>
              <w:rPr>
                <w:rFonts w:hint="eastAsia" w:eastAsia="宋体" w:cs="Times New Roman"/>
                <w:b/>
                <w:bCs/>
                <w:color w:val="auto"/>
                <w:sz w:val="24"/>
                <w:szCs w:val="24"/>
                <w:lang w:eastAsia="zh-CN"/>
              </w:rPr>
              <w:t>措施</w:t>
            </w:r>
          </w:p>
          <w:p w14:paraId="0E55712E">
            <w:pPr>
              <w:spacing w:line="360" w:lineRule="auto"/>
              <w:ind w:firstLine="480" w:firstLineChars="200"/>
              <w:rPr>
                <w:rFonts w:hint="eastAsia" w:eastAsia="宋体" w:cs="Times New Roman"/>
                <w:color w:val="auto"/>
                <w:sz w:val="24"/>
                <w:szCs w:val="24"/>
                <w:lang w:eastAsia="zh-CN"/>
              </w:rPr>
            </w:pPr>
            <w:r>
              <w:rPr>
                <w:rFonts w:hint="eastAsia" w:ascii="Times New Roman" w:hAnsi="Times New Roman" w:eastAsia="宋体" w:cs="Times New Roman"/>
                <w:color w:val="auto"/>
                <w:sz w:val="24"/>
                <w:lang w:val="en-US" w:eastAsia="zh-CN"/>
              </w:rPr>
              <w:t>项目区</w:t>
            </w:r>
            <w:r>
              <w:rPr>
                <w:rFonts w:hint="eastAsia" w:ascii="Times New Roman" w:hAnsi="Times New Roman" w:eastAsia="宋体" w:cs="Times New Roman"/>
                <w:color w:val="auto"/>
                <w:sz w:val="24"/>
              </w:rPr>
              <w:t>周边500范围内无</w:t>
            </w:r>
            <w:r>
              <w:rPr>
                <w:rFonts w:hint="eastAsia" w:ascii="Times New Roman" w:hAnsi="Times New Roman" w:eastAsia="宋体" w:cs="Times New Roman"/>
                <w:color w:val="auto"/>
                <w:sz w:val="24"/>
                <w:lang w:val="en-US" w:eastAsia="zh-CN"/>
              </w:rPr>
              <w:t>居民等敏感目标</w:t>
            </w:r>
            <w:r>
              <w:rPr>
                <w:rFonts w:hint="eastAsia" w:ascii="Times New Roman" w:hAnsi="Times New Roman" w:eastAsia="宋体" w:cs="Times New Roman"/>
                <w:color w:val="auto"/>
                <w:sz w:val="24"/>
                <w:lang w:eastAsia="zh-CN"/>
              </w:rPr>
              <w:t>，</w:t>
            </w:r>
            <w:r>
              <w:rPr>
                <w:rFonts w:hint="eastAsia" w:eastAsia="宋体" w:cs="Times New Roman"/>
                <w:color w:val="auto"/>
                <w:sz w:val="24"/>
                <w:szCs w:val="24"/>
                <w:lang w:eastAsia="zh-CN"/>
              </w:rPr>
              <w:t>为减轻施工噪声对周围环境的不良影响，评价要求建设单位应监督施工部门合理安排好施工时间、设备选型尽量采用低噪声设备、做好施工场所设备维护管理，严格规范操作，合理进行施工平面布置，高噪设备严禁夜间、午间进行机械施工。作业时间应尽量避开农户午休时间，最大限度减轻施工活动对群众生活带来的不利影响。</w:t>
            </w:r>
          </w:p>
          <w:p w14:paraId="4D98B554">
            <w:pPr>
              <w:spacing w:line="360" w:lineRule="auto"/>
              <w:ind w:firstLine="480" w:firstLineChars="200"/>
              <w:rPr>
                <w:rFonts w:hint="eastAsia" w:eastAsia="宋体" w:cs="Times New Roman"/>
                <w:color w:val="auto"/>
                <w:sz w:val="24"/>
                <w:szCs w:val="24"/>
                <w:lang w:eastAsia="zh-CN"/>
              </w:rPr>
            </w:pPr>
            <w:r>
              <w:rPr>
                <w:rFonts w:hint="eastAsia" w:eastAsia="宋体" w:cs="Times New Roman"/>
                <w:color w:val="auto"/>
                <w:sz w:val="24"/>
                <w:szCs w:val="24"/>
                <w:lang w:eastAsia="zh-CN"/>
              </w:rPr>
              <w:t>①工程施工前应公开张贴告示，告知工程名称、工程内容、施工作业方式、施工时间、拟采取的降噪措施以及声环境影响的大致程度和范围，请受影响民众的监督及谅解。</w:t>
            </w:r>
          </w:p>
          <w:p w14:paraId="69755FB5">
            <w:pPr>
              <w:spacing w:line="360" w:lineRule="auto"/>
              <w:ind w:firstLine="480" w:firstLineChars="200"/>
              <w:rPr>
                <w:rFonts w:hint="eastAsia" w:eastAsia="宋体" w:cs="Times New Roman"/>
                <w:color w:val="auto"/>
                <w:sz w:val="24"/>
                <w:szCs w:val="24"/>
                <w:lang w:eastAsia="zh-CN"/>
              </w:rPr>
            </w:pPr>
            <w:r>
              <w:rPr>
                <w:rFonts w:hint="eastAsia" w:eastAsia="宋体" w:cs="Times New Roman"/>
                <w:color w:val="auto"/>
                <w:sz w:val="24"/>
                <w:szCs w:val="24"/>
                <w:lang w:eastAsia="zh-CN"/>
              </w:rPr>
              <w:t>②施工中减少设备共同运行的时间，运输车辆经过农户区时禁止鸣笛，严格控制行驶速度，以降低噪声污染。尽量减少使用噪声较大的机械，高噪声设备应尽量将其布置在偏僻处，应远离农户区等声环境敏感点，并定期保养，严格操作规程。</w:t>
            </w:r>
          </w:p>
          <w:p w14:paraId="1AFC0937">
            <w:pPr>
              <w:spacing w:line="360" w:lineRule="auto"/>
              <w:ind w:firstLine="480" w:firstLineChars="200"/>
              <w:rPr>
                <w:rFonts w:hint="eastAsia" w:eastAsia="宋体" w:cs="Times New Roman"/>
                <w:color w:val="auto"/>
                <w:sz w:val="24"/>
                <w:szCs w:val="24"/>
                <w:lang w:eastAsia="zh-CN"/>
              </w:rPr>
            </w:pPr>
            <w:r>
              <w:rPr>
                <w:rFonts w:hint="eastAsia" w:eastAsia="宋体" w:cs="Times New Roman"/>
                <w:color w:val="auto"/>
                <w:sz w:val="24"/>
                <w:szCs w:val="24"/>
                <w:lang w:eastAsia="zh-CN"/>
              </w:rPr>
              <w:t>③夜间、午间禁止施工。</w:t>
            </w:r>
          </w:p>
          <w:p w14:paraId="66B6B71C">
            <w:pPr>
              <w:spacing w:line="360" w:lineRule="auto"/>
              <w:ind w:firstLine="480" w:firstLineChars="200"/>
              <w:rPr>
                <w:rFonts w:hint="default" w:eastAsia="宋体" w:cs="Times New Roman"/>
                <w:color w:val="auto"/>
                <w:sz w:val="24"/>
                <w:szCs w:val="24"/>
                <w:lang w:eastAsia="zh-CN"/>
              </w:rPr>
            </w:pPr>
            <w:r>
              <w:rPr>
                <w:rFonts w:hint="eastAsia" w:eastAsia="宋体" w:cs="Times New Roman"/>
                <w:color w:val="auto"/>
                <w:sz w:val="24"/>
                <w:szCs w:val="24"/>
                <w:lang w:eastAsia="zh-CN"/>
              </w:rPr>
              <w:t>④加强设备维护，保证车辆和施工设备处于良好工作状况，尽量采用低噪声的施工机械。本项目施工期较短，施工区域距离周边声环境敏感点较远，经采取以上措施后项目施工对周边农户影响较小。</w:t>
            </w:r>
          </w:p>
          <w:p w14:paraId="40EA809E">
            <w:pPr>
              <w:spacing w:line="360" w:lineRule="auto"/>
              <w:ind w:firstLine="482" w:firstLineChars="200"/>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5</w:t>
            </w:r>
            <w:r>
              <w:rPr>
                <w:rFonts w:hint="default" w:eastAsia="宋体" w:cs="Times New Roman"/>
                <w:b/>
                <w:bCs/>
                <w:color w:val="auto"/>
                <w:sz w:val="24"/>
                <w:szCs w:val="24"/>
                <w:lang w:val="en-US" w:eastAsia="zh-CN"/>
              </w:rPr>
              <w:t>.固体废物防治措施</w:t>
            </w:r>
          </w:p>
          <w:p w14:paraId="04D5BFD4">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施工期间固体废物主要来自井下施工及地面施工。</w:t>
            </w:r>
          </w:p>
          <w:p w14:paraId="5C7B13C9">
            <w:pPr>
              <w:spacing w:line="360" w:lineRule="auto"/>
              <w:ind w:firstLine="480"/>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井下施工如巷道掘进产生的固体废物主要为废土石、岩屑及泥浆；</w:t>
            </w:r>
            <w:r>
              <w:rPr>
                <w:rFonts w:hint="eastAsia" w:cs="Times New Roman"/>
                <w:color w:val="auto"/>
                <w:sz w:val="24"/>
                <w:lang w:val="en-US" w:eastAsia="zh-CN"/>
              </w:rPr>
              <w:t>泥浆通过污泥脱泥机压滤后，泥饼委托伊敏盛达实业有限责任公司处置，废水排至临时沉淀池处置。废土石及岩屑委托伊敏盛达实业有限责任公司处置。</w:t>
            </w:r>
            <w:r>
              <w:rPr>
                <w:rFonts w:hint="eastAsia" w:ascii="Times New Roman" w:hAnsi="Times New Roman" w:eastAsia="宋体" w:cs="Times New Roman"/>
                <w:color w:val="auto"/>
                <w:sz w:val="24"/>
                <w:lang w:val="en-US" w:eastAsia="zh-CN"/>
              </w:rPr>
              <w:t>废土石、岩屑及</w:t>
            </w:r>
            <w:r>
              <w:rPr>
                <w:rFonts w:hint="eastAsia" w:cs="Times New Roman"/>
                <w:color w:val="auto"/>
                <w:sz w:val="24"/>
                <w:lang w:val="en-US" w:eastAsia="zh-CN"/>
              </w:rPr>
              <w:t>泥饼产生量为57965m</w:t>
            </w:r>
            <w:r>
              <w:rPr>
                <w:rFonts w:hint="eastAsia" w:cs="Times New Roman"/>
                <w:color w:val="auto"/>
                <w:sz w:val="24"/>
                <w:vertAlign w:val="superscript"/>
                <w:lang w:val="en-US" w:eastAsia="zh-CN"/>
              </w:rPr>
              <w:t>3</w:t>
            </w:r>
            <w:r>
              <w:rPr>
                <w:rFonts w:hint="eastAsia" w:cs="Times New Roman"/>
                <w:color w:val="auto"/>
                <w:sz w:val="24"/>
                <w:lang w:val="en-US" w:eastAsia="zh-CN"/>
              </w:rPr>
              <w:t>。</w:t>
            </w:r>
          </w:p>
          <w:p w14:paraId="7704A1F2">
            <w:pPr>
              <w:spacing w:line="360" w:lineRule="auto"/>
              <w:ind w:firstLine="480" w:firstLineChars="200"/>
              <w:rPr>
                <w:rFonts w:hint="eastAsia" w:ascii="Times New Roman" w:hAnsi="Times New Roman" w:eastAsia="宋体" w:cs="Times New Roman"/>
                <w:color w:val="auto"/>
                <w:sz w:val="24"/>
                <w:lang w:val="en-US" w:eastAsia="zh-CN"/>
              </w:rPr>
            </w:pPr>
            <w:r>
              <w:rPr>
                <w:rFonts w:hint="eastAsia" w:cs="Times New Roman"/>
                <w:color w:val="auto"/>
                <w:sz w:val="24"/>
                <w:lang w:val="en-US" w:eastAsia="zh-CN"/>
              </w:rPr>
              <w:t>井上施工</w:t>
            </w:r>
            <w:r>
              <w:rPr>
                <w:rFonts w:hint="eastAsia" w:ascii="Times New Roman" w:hAnsi="Times New Roman" w:eastAsia="宋体" w:cs="Times New Roman"/>
                <w:color w:val="auto"/>
                <w:sz w:val="24"/>
                <w:lang w:val="en-US" w:eastAsia="zh-CN"/>
              </w:rPr>
              <w:t>场地施工人员为</w:t>
            </w:r>
            <w:r>
              <w:rPr>
                <w:rFonts w:hint="eastAsia" w:cs="Times New Roman"/>
                <w:color w:val="auto"/>
                <w:sz w:val="24"/>
                <w:lang w:val="en-US" w:eastAsia="zh-CN"/>
              </w:rPr>
              <w:t>110</w:t>
            </w:r>
            <w:r>
              <w:rPr>
                <w:rFonts w:hint="eastAsia" w:ascii="Times New Roman" w:hAnsi="Times New Roman" w:eastAsia="宋体" w:cs="Times New Roman"/>
                <w:color w:val="auto"/>
                <w:sz w:val="24"/>
                <w:lang w:val="en-US" w:eastAsia="zh-CN"/>
              </w:rPr>
              <w:t>人，生活垃圾产生量按照0.5kg/人/d计算，则生活垃圾产生量为</w:t>
            </w:r>
            <w:r>
              <w:rPr>
                <w:rFonts w:hint="eastAsia" w:cs="Times New Roman"/>
                <w:color w:val="auto"/>
                <w:sz w:val="24"/>
                <w:lang w:val="en-US" w:eastAsia="zh-CN"/>
              </w:rPr>
              <w:t>26.4</w:t>
            </w:r>
            <w:r>
              <w:rPr>
                <w:rFonts w:hint="eastAsia" w:ascii="Times New Roman" w:hAnsi="Times New Roman" w:eastAsia="宋体" w:cs="Times New Roman"/>
                <w:color w:val="auto"/>
                <w:sz w:val="24"/>
                <w:lang w:val="en-US" w:eastAsia="zh-CN"/>
              </w:rPr>
              <w:t>t。生活垃圾集中收集，</w:t>
            </w:r>
            <w:r>
              <w:rPr>
                <w:rFonts w:hint="eastAsia" w:cs="Times New Roman"/>
                <w:color w:val="auto"/>
                <w:sz w:val="24"/>
                <w:lang w:val="en-US" w:eastAsia="zh-CN"/>
              </w:rPr>
              <w:t>委托呼伦贝尔市石全经贸有限公司处置</w:t>
            </w:r>
            <w:r>
              <w:rPr>
                <w:rFonts w:hint="eastAsia" w:ascii="Times New Roman" w:hAnsi="Times New Roman" w:eastAsia="宋体" w:cs="Times New Roman"/>
                <w:color w:val="auto"/>
                <w:sz w:val="24"/>
                <w:lang w:val="en-US" w:eastAsia="zh-CN"/>
              </w:rPr>
              <w:t>。</w:t>
            </w:r>
          </w:p>
          <w:p w14:paraId="48EBF93F">
            <w:pPr>
              <w:spacing w:line="360" w:lineRule="auto"/>
              <w:ind w:firstLine="480" w:firstLineChars="200"/>
              <w:rPr>
                <w:rFonts w:hint="default" w:eastAsia="宋体" w:cs="Times New Roman"/>
                <w:color w:val="auto"/>
                <w:sz w:val="24"/>
                <w:szCs w:val="24"/>
              </w:rPr>
            </w:pPr>
            <w:r>
              <w:rPr>
                <w:rFonts w:hint="eastAsia" w:ascii="Times New Roman" w:hAnsi="Times New Roman" w:eastAsia="宋体" w:cs="Times New Roman"/>
                <w:color w:val="auto"/>
                <w:sz w:val="24"/>
                <w:lang w:val="en-US" w:eastAsia="zh-CN"/>
              </w:rPr>
              <w:t>综上所述，施工期固废处置满足《一般工业固体废物贮存和填埋污染控制标准》(GB18599-2020)</w:t>
            </w:r>
            <w:r>
              <w:rPr>
                <w:rFonts w:hint="eastAsia" w:cs="Times New Roman"/>
                <w:color w:val="auto"/>
                <w:sz w:val="24"/>
                <w:lang w:val="en-US" w:eastAsia="zh-CN"/>
              </w:rPr>
              <w:t>相关要求。</w:t>
            </w:r>
          </w:p>
        </w:tc>
      </w:tr>
      <w:tr w14:paraId="362FC75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651" w:type="dxa"/>
            <w:tcMar>
              <w:left w:w="28" w:type="dxa"/>
              <w:right w:w="28" w:type="dxa"/>
            </w:tcMar>
            <w:vAlign w:val="center"/>
          </w:tcPr>
          <w:p w14:paraId="2629F2CE">
            <w:pPr>
              <w:spacing w:line="360" w:lineRule="auto"/>
              <w:jc w:val="center"/>
              <w:rPr>
                <w:rFonts w:eastAsia="Times New Roman"/>
                <w:color w:val="auto"/>
                <w:sz w:val="24"/>
              </w:rPr>
            </w:pPr>
            <w:r>
              <w:rPr>
                <w:rFonts w:eastAsia="Times New Roman"/>
                <w:color w:val="auto"/>
                <w:sz w:val="24"/>
              </w:rPr>
              <w:t>运营期生态环境保护措施</w:t>
            </w:r>
          </w:p>
        </w:tc>
        <w:tc>
          <w:tcPr>
            <w:tcW w:w="8260" w:type="dxa"/>
          </w:tcPr>
          <w:p w14:paraId="651069AE">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一、大气环境污染防治措施</w:t>
            </w:r>
          </w:p>
          <w:p w14:paraId="056D3FAC">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本项目运营期不产生废气。</w:t>
            </w:r>
          </w:p>
          <w:p w14:paraId="5D8B0027">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二、废水</w:t>
            </w:r>
          </w:p>
          <w:p w14:paraId="764AA8A0">
            <w:pPr>
              <w:spacing w:line="360" w:lineRule="auto"/>
              <w:ind w:firstLine="480" w:firstLineChars="200"/>
              <w:rPr>
                <w:rFonts w:hint="default" w:eastAsia="Times New Roman" w:cs="Times New Roman"/>
                <w:b w:val="0"/>
                <w:bCs w:val="0"/>
                <w:color w:val="auto"/>
                <w:sz w:val="24"/>
                <w:szCs w:val="24"/>
                <w:lang w:val="en-US" w:eastAsia="zh-CN"/>
              </w:rPr>
            </w:pPr>
            <w:r>
              <w:rPr>
                <w:rFonts w:hint="eastAsia" w:ascii="Times New Roman" w:hAnsi="Times New Roman" w:eastAsia="Times New Roman" w:cs="Times New Roman"/>
                <w:b w:val="0"/>
                <w:bCs w:val="0"/>
                <w:color w:val="auto"/>
                <w:sz w:val="24"/>
                <w:szCs w:val="24"/>
                <w:lang w:val="en-US" w:eastAsia="zh-CN"/>
              </w:rPr>
              <w:t>生活污水产生量按用水量的80%计算，则生活污水产生量为</w:t>
            </w:r>
            <w:r>
              <w:rPr>
                <w:rFonts w:hint="eastAsia" w:eastAsia="Times New Roman" w:cs="Times New Roman"/>
                <w:b w:val="0"/>
                <w:bCs w:val="0"/>
                <w:color w:val="auto"/>
                <w:sz w:val="24"/>
                <w:szCs w:val="24"/>
                <w:lang w:val="en-US" w:eastAsia="zh-CN"/>
              </w:rPr>
              <w:t>3.6</w:t>
            </w:r>
            <w:r>
              <w:rPr>
                <w:rFonts w:hint="eastAsia" w:ascii="Times New Roman" w:hAnsi="Times New Roman" w:eastAsia="Times New Roman" w:cs="Times New Roman"/>
                <w:b w:val="0"/>
                <w:bCs w:val="0"/>
                <w:color w:val="auto"/>
                <w:sz w:val="24"/>
                <w:szCs w:val="24"/>
                <w:lang w:val="en-US" w:eastAsia="zh-CN"/>
              </w:rPr>
              <w:t>m</w:t>
            </w:r>
            <w:r>
              <w:rPr>
                <w:rFonts w:hint="eastAsia" w:ascii="Times New Roman" w:hAnsi="Times New Roman" w:eastAsia="Times New Roman" w:cs="Times New Roman"/>
                <w:b w:val="0"/>
                <w:bCs w:val="0"/>
                <w:color w:val="auto"/>
                <w:sz w:val="24"/>
                <w:szCs w:val="24"/>
                <w:vertAlign w:val="superscript"/>
                <w:lang w:val="en-US" w:eastAsia="zh-CN"/>
              </w:rPr>
              <w:t>3</w:t>
            </w:r>
            <w:r>
              <w:rPr>
                <w:rFonts w:hint="eastAsia" w:ascii="Times New Roman" w:hAnsi="Times New Roman" w:eastAsia="Times New Roman" w:cs="Times New Roman"/>
                <w:b w:val="0"/>
                <w:bCs w:val="0"/>
                <w:color w:val="auto"/>
                <w:sz w:val="24"/>
                <w:szCs w:val="24"/>
                <w:lang w:val="en-US" w:eastAsia="zh-CN"/>
              </w:rPr>
              <w:t>/d，</w:t>
            </w:r>
            <w:r>
              <w:rPr>
                <w:rFonts w:hint="eastAsia" w:eastAsia="Times New Roman" w:cs="Times New Roman"/>
                <w:b w:val="0"/>
                <w:bCs w:val="0"/>
                <w:color w:val="auto"/>
                <w:sz w:val="24"/>
                <w:szCs w:val="24"/>
                <w:lang w:val="en-US" w:eastAsia="zh-CN"/>
              </w:rPr>
              <w:t>1314m</w:t>
            </w:r>
            <w:r>
              <w:rPr>
                <w:rFonts w:hint="eastAsia" w:eastAsia="Times New Roman" w:cs="Times New Roman"/>
                <w:b w:val="0"/>
                <w:bCs w:val="0"/>
                <w:color w:val="auto"/>
                <w:sz w:val="24"/>
                <w:szCs w:val="24"/>
                <w:vertAlign w:val="superscript"/>
                <w:lang w:val="en-US" w:eastAsia="zh-CN"/>
              </w:rPr>
              <w:t>3</w:t>
            </w:r>
            <w:r>
              <w:rPr>
                <w:rFonts w:hint="eastAsia" w:eastAsia="Times New Roman" w:cs="Times New Roman"/>
                <w:b w:val="0"/>
                <w:bCs w:val="0"/>
                <w:color w:val="auto"/>
                <w:sz w:val="24"/>
                <w:szCs w:val="24"/>
                <w:lang w:val="en-US" w:eastAsia="zh-CN"/>
              </w:rPr>
              <w:t>/a。</w:t>
            </w:r>
            <w:r>
              <w:rPr>
                <w:rFonts w:hint="eastAsia" w:ascii="Times New Roman" w:hAnsi="Times New Roman" w:eastAsia="Times New Roman" w:cs="Times New Roman"/>
                <w:b w:val="0"/>
                <w:bCs w:val="0"/>
                <w:color w:val="auto"/>
                <w:sz w:val="24"/>
                <w:szCs w:val="24"/>
                <w:lang w:val="en-US" w:eastAsia="zh-CN"/>
              </w:rPr>
              <w:t>生活</w:t>
            </w:r>
            <w:r>
              <w:rPr>
                <w:rFonts w:hint="eastAsia" w:eastAsia="Times New Roman" w:cs="Times New Roman"/>
                <w:b w:val="0"/>
                <w:bCs w:val="0"/>
                <w:color w:val="auto"/>
                <w:sz w:val="24"/>
                <w:szCs w:val="24"/>
                <w:lang w:val="en-US" w:eastAsia="zh-CN"/>
              </w:rPr>
              <w:t>污水依托现有一体化处理设备进行二级处理，回用于鄂温克电厂用水。</w:t>
            </w:r>
            <w:r>
              <w:rPr>
                <w:rFonts w:hint="eastAsia" w:eastAsia="Times New Roman" w:cs="Times New Roman"/>
                <w:b w:val="0"/>
                <w:bCs w:val="0"/>
                <w:color w:val="auto"/>
                <w:sz w:val="24"/>
                <w:szCs w:val="24"/>
                <w:lang w:val="zh-CN" w:eastAsia="zh-CN"/>
              </w:rPr>
              <w:t>敏东一矿生活污水处理采用一体化污水处理设备处理，处理规模1000m</w:t>
            </w:r>
            <w:r>
              <w:rPr>
                <w:rFonts w:hint="eastAsia" w:eastAsia="Times New Roman" w:cs="Times New Roman"/>
                <w:b w:val="0"/>
                <w:bCs w:val="0"/>
                <w:color w:val="auto"/>
                <w:sz w:val="24"/>
                <w:szCs w:val="24"/>
                <w:vertAlign w:val="superscript"/>
                <w:lang w:val="zh-CN" w:eastAsia="zh-CN"/>
              </w:rPr>
              <w:t>3</w:t>
            </w:r>
            <w:r>
              <w:rPr>
                <w:rFonts w:hint="eastAsia" w:eastAsia="Times New Roman" w:cs="Times New Roman"/>
                <w:b w:val="0"/>
                <w:bCs w:val="0"/>
                <w:color w:val="auto"/>
                <w:sz w:val="24"/>
                <w:szCs w:val="24"/>
                <w:lang w:val="zh-CN" w:eastAsia="zh-CN"/>
              </w:rPr>
              <w:t>/d，处理工艺为：接触氧化法。</w:t>
            </w:r>
            <w:r>
              <w:rPr>
                <w:rFonts w:hint="eastAsia" w:eastAsia="Times New Roman" w:cs="Times New Roman"/>
                <w:b w:val="0"/>
                <w:bCs w:val="0"/>
                <w:color w:val="auto"/>
                <w:sz w:val="24"/>
                <w:szCs w:val="24"/>
                <w:lang w:val="en-US" w:eastAsia="zh-CN"/>
              </w:rPr>
              <w:t>目前，敏东一矿污水处理能力尚有足够余量来处理本次新增生活污水，且污水处理工艺可行。因此，本项目运营期产生的生活污水依托现有污水处理装置处置可行。</w:t>
            </w:r>
          </w:p>
          <w:p w14:paraId="0616C161">
            <w:pPr>
              <w:spacing w:line="360" w:lineRule="auto"/>
              <w:ind w:firstLine="480" w:firstLineChars="200"/>
              <w:rPr>
                <w:rFonts w:hint="default"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三、固废</w:t>
            </w:r>
          </w:p>
          <w:p w14:paraId="09934AB0">
            <w:pPr>
              <w:spacing w:line="360" w:lineRule="auto"/>
              <w:ind w:firstLine="480" w:firstLineChars="200"/>
              <w:rPr>
                <w:rFonts w:hint="default"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本次新增劳动定员75人，生活垃圾产生量按照0.5kg/人/d计算，则生活垃圾产生量为13.6875t/a。运营期产生的生活垃圾委托呼伦贝尔市石全经贸有限公司清运。</w:t>
            </w:r>
          </w:p>
          <w:p w14:paraId="5DB999AA">
            <w:pPr>
              <w:spacing w:line="360" w:lineRule="auto"/>
              <w:ind w:firstLine="480" w:firstLineChars="200"/>
              <w:rPr>
                <w:rFonts w:hint="default"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四、噪声</w:t>
            </w:r>
          </w:p>
          <w:p w14:paraId="79FD3C1F">
            <w:pPr>
              <w:spacing w:line="360" w:lineRule="auto"/>
              <w:ind w:firstLine="480" w:firstLineChars="200"/>
              <w:rPr>
                <w:rFonts w:hint="eastAsia"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本项目为辅助提升及运输系统无轨化改造项目，项目运营期不产生连续噪声，周围无声环境敏感目标。</w:t>
            </w:r>
          </w:p>
          <w:p w14:paraId="342C328E">
            <w:pPr>
              <w:spacing w:line="360" w:lineRule="auto"/>
              <w:ind w:firstLine="480" w:firstLineChars="200"/>
              <w:rPr>
                <w:rFonts w:hint="eastAsia" w:eastAsia="Times New Roman" w:cs="Times New Roman"/>
                <w:b w:val="0"/>
                <w:bCs w:val="0"/>
                <w:color w:val="auto"/>
                <w:sz w:val="24"/>
                <w:szCs w:val="24"/>
                <w:lang w:val="en-US" w:eastAsia="zh-CN"/>
              </w:rPr>
            </w:pPr>
            <w:r>
              <w:rPr>
                <w:rFonts w:hint="eastAsia" w:eastAsia="Times New Roman" w:cs="Times New Roman"/>
                <w:b w:val="0"/>
                <w:bCs w:val="0"/>
                <w:color w:val="auto"/>
                <w:sz w:val="24"/>
                <w:szCs w:val="24"/>
                <w:lang w:val="en-US" w:eastAsia="zh-CN"/>
              </w:rPr>
              <w:t>五、生态恢复</w:t>
            </w:r>
          </w:p>
          <w:p w14:paraId="08EC6E33">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eastAsia="Times New Roman" w:cs="Times New Roman"/>
                <w:b w:val="0"/>
                <w:bCs w:val="0"/>
                <w:color w:val="auto"/>
                <w:sz w:val="24"/>
                <w:szCs w:val="24"/>
                <w:lang w:val="en-US" w:eastAsia="zh-CN"/>
              </w:rPr>
              <w:t>本项目施工结束后，人工建筑物拆除，使人工景观的密度大大降低，自然景观的连通性</w:t>
            </w:r>
            <w:r>
              <w:rPr>
                <w:rFonts w:hint="eastAsia" w:ascii="Times New Roman" w:hAnsi="Times New Roman" w:eastAsia="宋体" w:cs="Times New Roman"/>
                <w:color w:val="auto"/>
                <w:sz w:val="24"/>
                <w:szCs w:val="24"/>
              </w:rPr>
              <w:t>得以恢复，生态环境质量将逐步恢复至原有水平。复垦责任范围复垦地类为人工牧草地。本次复垦选择草种为沙打旺和紫花苜蓿，每公顷播种量30kg。</w:t>
            </w:r>
            <w:r>
              <w:rPr>
                <w:rFonts w:hint="eastAsia" w:eastAsia="宋体" w:cs="Times New Roman"/>
                <w:color w:val="auto"/>
                <w:sz w:val="24"/>
                <w:szCs w:val="24"/>
                <w:lang w:val="en-US" w:eastAsia="zh-CN"/>
              </w:rPr>
              <w:t>根据工程设计，项目施工占地面积约为0.2</w:t>
            </w:r>
            <w:r>
              <w:rPr>
                <w:rFonts w:hint="eastAsia" w:ascii="Times New Roman" w:hAnsi="Times New Roman" w:eastAsia="宋体" w:cs="Times New Roman"/>
                <w:color w:val="auto"/>
                <w:sz w:val="24"/>
                <w:szCs w:val="24"/>
                <w:lang w:val="en-US" w:eastAsia="zh-CN"/>
              </w:rPr>
              <w:t>hm</w:t>
            </w:r>
            <w:r>
              <w:rPr>
                <w:rFonts w:hint="eastAsia" w:ascii="Times New Roman" w:hAnsi="Times New Roman" w:eastAsia="宋体"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w:t>
            </w:r>
          </w:p>
          <w:p w14:paraId="52B1674F">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表5-1    人工种草设计指标表</w:t>
            </w:r>
          </w:p>
          <w:tbl>
            <w:tblPr>
              <w:tblStyle w:val="54"/>
              <w:tblW w:w="8156"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834"/>
              <w:gridCol w:w="750"/>
              <w:gridCol w:w="702"/>
              <w:gridCol w:w="688"/>
              <w:gridCol w:w="1044"/>
              <w:gridCol w:w="1054"/>
              <w:gridCol w:w="1150"/>
              <w:gridCol w:w="934"/>
            </w:tblGrid>
            <w:tr w14:paraId="3A2013E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834" w:type="dxa"/>
                  <w:vMerge w:val="restart"/>
                  <w:tcBorders>
                    <w:tl2br w:val="nil"/>
                    <w:tr2bl w:val="nil"/>
                  </w:tcBorders>
                  <w:vAlign w:val="center"/>
                </w:tcPr>
                <w:p w14:paraId="523E7D1C">
                  <w:pPr>
                    <w:spacing w:line="300" w:lineRule="exact"/>
                    <w:jc w:val="center"/>
                    <w:rPr>
                      <w:rFonts w:hint="default" w:ascii="Times New Roman" w:hAnsi="Times New Roman" w:eastAsia="宋体" w:cs="Times New Roman"/>
                      <w:color w:val="auto"/>
                      <w:sz w:val="21"/>
                      <w:szCs w:val="21"/>
                      <w:lang w:val="en-US" w:eastAsia="zh-CN"/>
                    </w:rPr>
                  </w:pPr>
                </w:p>
                <w:p w14:paraId="6DA91E30">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品种</w:t>
                  </w:r>
                </w:p>
              </w:tc>
              <w:tc>
                <w:tcPr>
                  <w:tcW w:w="750" w:type="dxa"/>
                  <w:vMerge w:val="restart"/>
                  <w:tcBorders>
                    <w:tl2br w:val="nil"/>
                    <w:tr2bl w:val="nil"/>
                  </w:tcBorders>
                  <w:vAlign w:val="center"/>
                </w:tcPr>
                <w:p w14:paraId="4D92DDCA">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播幅 （m）</w:t>
                  </w:r>
                </w:p>
              </w:tc>
              <w:tc>
                <w:tcPr>
                  <w:tcW w:w="702" w:type="dxa"/>
                  <w:vMerge w:val="restart"/>
                  <w:tcBorders>
                    <w:tl2br w:val="nil"/>
                    <w:tr2bl w:val="nil"/>
                  </w:tcBorders>
                  <w:vAlign w:val="center"/>
                </w:tcPr>
                <w:p w14:paraId="09E2C226">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播深 (m)</w:t>
                  </w:r>
                </w:p>
              </w:tc>
              <w:tc>
                <w:tcPr>
                  <w:tcW w:w="2786" w:type="dxa"/>
                  <w:gridSpan w:val="3"/>
                  <w:tcBorders>
                    <w:tl2br w:val="nil"/>
                    <w:tr2bl w:val="nil"/>
                  </w:tcBorders>
                  <w:vAlign w:val="center"/>
                </w:tcPr>
                <w:p w14:paraId="03A2518D">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需种量</w:t>
                  </w:r>
                </w:p>
              </w:tc>
              <w:tc>
                <w:tcPr>
                  <w:tcW w:w="1150" w:type="dxa"/>
                  <w:vMerge w:val="restart"/>
                  <w:tcBorders>
                    <w:tl2br w:val="nil"/>
                    <w:tr2bl w:val="nil"/>
                  </w:tcBorders>
                  <w:vAlign w:val="center"/>
                </w:tcPr>
                <w:p w14:paraId="1D302AF3">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面积（hm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w:t>
                  </w:r>
                </w:p>
              </w:tc>
              <w:tc>
                <w:tcPr>
                  <w:tcW w:w="934" w:type="dxa"/>
                  <w:vMerge w:val="restart"/>
                  <w:tcBorders>
                    <w:tl2br w:val="nil"/>
                    <w:tr2bl w:val="nil"/>
                  </w:tcBorders>
                  <w:vAlign w:val="center"/>
                </w:tcPr>
                <w:p w14:paraId="04E5770A">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需种量 （kg）</w:t>
                  </w:r>
                </w:p>
              </w:tc>
            </w:tr>
            <w:tr w14:paraId="3E7C432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834" w:type="dxa"/>
                  <w:vMerge w:val="continue"/>
                  <w:tcBorders>
                    <w:tl2br w:val="nil"/>
                    <w:tr2bl w:val="nil"/>
                  </w:tcBorders>
                  <w:vAlign w:val="center"/>
                </w:tcPr>
                <w:p w14:paraId="38317A26">
                  <w:pPr>
                    <w:spacing w:line="300" w:lineRule="exact"/>
                    <w:jc w:val="center"/>
                    <w:rPr>
                      <w:rFonts w:hint="default" w:ascii="Times New Roman" w:hAnsi="Times New Roman" w:eastAsia="宋体" w:cs="Times New Roman"/>
                      <w:color w:val="auto"/>
                      <w:sz w:val="21"/>
                      <w:szCs w:val="21"/>
                      <w:lang w:val="en-US" w:eastAsia="zh-CN"/>
                    </w:rPr>
                  </w:pPr>
                </w:p>
              </w:tc>
              <w:tc>
                <w:tcPr>
                  <w:tcW w:w="750" w:type="dxa"/>
                  <w:vMerge w:val="continue"/>
                  <w:tcBorders>
                    <w:tl2br w:val="nil"/>
                    <w:tr2bl w:val="nil"/>
                  </w:tcBorders>
                  <w:vAlign w:val="center"/>
                </w:tcPr>
                <w:p w14:paraId="24136E4C">
                  <w:pPr>
                    <w:spacing w:line="300" w:lineRule="exact"/>
                    <w:jc w:val="center"/>
                    <w:rPr>
                      <w:rFonts w:hint="default" w:ascii="Times New Roman" w:hAnsi="Times New Roman" w:eastAsia="宋体" w:cs="Times New Roman"/>
                      <w:color w:val="auto"/>
                      <w:sz w:val="21"/>
                      <w:szCs w:val="21"/>
                      <w:lang w:val="en-US" w:eastAsia="zh-CN"/>
                    </w:rPr>
                  </w:pPr>
                </w:p>
              </w:tc>
              <w:tc>
                <w:tcPr>
                  <w:tcW w:w="702" w:type="dxa"/>
                  <w:vMerge w:val="continue"/>
                  <w:tcBorders>
                    <w:tl2br w:val="nil"/>
                    <w:tr2bl w:val="nil"/>
                  </w:tcBorders>
                  <w:vAlign w:val="center"/>
                </w:tcPr>
                <w:p w14:paraId="78552417">
                  <w:pPr>
                    <w:spacing w:line="300" w:lineRule="exact"/>
                    <w:jc w:val="center"/>
                    <w:rPr>
                      <w:rFonts w:hint="default" w:ascii="Times New Roman" w:hAnsi="Times New Roman" w:eastAsia="宋体" w:cs="Times New Roman"/>
                      <w:color w:val="auto"/>
                      <w:sz w:val="21"/>
                      <w:szCs w:val="21"/>
                      <w:lang w:val="en-US" w:eastAsia="zh-CN"/>
                    </w:rPr>
                  </w:pPr>
                </w:p>
              </w:tc>
              <w:tc>
                <w:tcPr>
                  <w:tcW w:w="688" w:type="dxa"/>
                  <w:tcBorders>
                    <w:tl2br w:val="nil"/>
                    <w:tr2bl w:val="nil"/>
                  </w:tcBorders>
                  <w:vAlign w:val="center"/>
                </w:tcPr>
                <w:p w14:paraId="5F37F1E1">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标准</w:t>
                  </w:r>
                </w:p>
              </w:tc>
              <w:tc>
                <w:tcPr>
                  <w:tcW w:w="1044" w:type="dxa"/>
                  <w:tcBorders>
                    <w:tl2br w:val="nil"/>
                    <w:tr2bl w:val="nil"/>
                  </w:tcBorders>
                  <w:vAlign w:val="center"/>
                </w:tcPr>
                <w:p w14:paraId="71938D1C">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种类</w:t>
                  </w:r>
                </w:p>
              </w:tc>
              <w:tc>
                <w:tcPr>
                  <w:tcW w:w="1054" w:type="dxa"/>
                  <w:tcBorders>
                    <w:tl2br w:val="nil"/>
                    <w:tr2bl w:val="nil"/>
                  </w:tcBorders>
                  <w:vAlign w:val="center"/>
                </w:tcPr>
                <w:p w14:paraId="78721ACC">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kg/ hm</w:t>
                  </w:r>
                  <w:r>
                    <w:rPr>
                      <w:rFonts w:hint="default" w:ascii="Times New Roman" w:hAnsi="Times New Roman" w:eastAsia="宋体" w:cs="Times New Roman"/>
                      <w:color w:val="auto"/>
                      <w:sz w:val="21"/>
                      <w:szCs w:val="21"/>
                      <w:vertAlign w:val="superscript"/>
                      <w:lang w:val="en-US" w:eastAsia="zh-CN"/>
                    </w:rPr>
                    <w:t>2</w:t>
                  </w:r>
                </w:p>
              </w:tc>
              <w:tc>
                <w:tcPr>
                  <w:tcW w:w="1150" w:type="dxa"/>
                  <w:vMerge w:val="continue"/>
                  <w:tcBorders>
                    <w:tl2br w:val="nil"/>
                    <w:tr2bl w:val="nil"/>
                  </w:tcBorders>
                  <w:vAlign w:val="center"/>
                </w:tcPr>
                <w:p w14:paraId="62524EEC">
                  <w:pPr>
                    <w:spacing w:line="300" w:lineRule="exact"/>
                    <w:jc w:val="center"/>
                    <w:rPr>
                      <w:rFonts w:hint="default" w:ascii="Times New Roman" w:hAnsi="Times New Roman" w:eastAsia="宋体" w:cs="Times New Roman"/>
                      <w:color w:val="auto"/>
                      <w:sz w:val="21"/>
                      <w:szCs w:val="21"/>
                      <w:lang w:val="en-US" w:eastAsia="zh-CN"/>
                    </w:rPr>
                  </w:pPr>
                </w:p>
              </w:tc>
              <w:tc>
                <w:tcPr>
                  <w:tcW w:w="934" w:type="dxa"/>
                  <w:vMerge w:val="continue"/>
                  <w:tcBorders>
                    <w:tl2br w:val="nil"/>
                    <w:tr2bl w:val="nil"/>
                  </w:tcBorders>
                  <w:vAlign w:val="center"/>
                </w:tcPr>
                <w:p w14:paraId="4A6FB64C">
                  <w:pPr>
                    <w:spacing w:line="300" w:lineRule="exact"/>
                    <w:jc w:val="center"/>
                    <w:rPr>
                      <w:rFonts w:hint="default" w:ascii="Times New Roman" w:hAnsi="Times New Roman" w:eastAsia="宋体" w:cs="Times New Roman"/>
                      <w:color w:val="auto"/>
                      <w:sz w:val="21"/>
                      <w:szCs w:val="21"/>
                      <w:lang w:val="en-US" w:eastAsia="zh-CN"/>
                    </w:rPr>
                  </w:pPr>
                </w:p>
              </w:tc>
            </w:tr>
            <w:tr w14:paraId="11DDC00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834" w:type="dxa"/>
                  <w:tcBorders>
                    <w:tl2br w:val="nil"/>
                    <w:tr2bl w:val="nil"/>
                  </w:tcBorders>
                  <w:vAlign w:val="center"/>
                </w:tcPr>
                <w:p w14:paraId="14EC3147">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沙打旺、紫花苜蓿</w:t>
                  </w:r>
                </w:p>
              </w:tc>
              <w:tc>
                <w:tcPr>
                  <w:tcW w:w="750" w:type="dxa"/>
                  <w:tcBorders>
                    <w:tl2br w:val="nil"/>
                    <w:tr2bl w:val="nil"/>
                  </w:tcBorders>
                  <w:vAlign w:val="center"/>
                </w:tcPr>
                <w:p w14:paraId="554AC26B">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w:t>
                  </w:r>
                </w:p>
              </w:tc>
              <w:tc>
                <w:tcPr>
                  <w:tcW w:w="702" w:type="dxa"/>
                  <w:tcBorders>
                    <w:tl2br w:val="nil"/>
                    <w:tr2bl w:val="nil"/>
                  </w:tcBorders>
                  <w:vAlign w:val="center"/>
                </w:tcPr>
                <w:p w14:paraId="3F846988">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c>
                <w:tcPr>
                  <w:tcW w:w="688" w:type="dxa"/>
                  <w:tcBorders>
                    <w:tl2br w:val="nil"/>
                    <w:tr2bl w:val="nil"/>
                  </w:tcBorders>
                  <w:vAlign w:val="center"/>
                </w:tcPr>
                <w:p w14:paraId="0E0674DF">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国标</w:t>
                  </w:r>
                </w:p>
              </w:tc>
              <w:tc>
                <w:tcPr>
                  <w:tcW w:w="1044" w:type="dxa"/>
                  <w:tcBorders>
                    <w:tl2br w:val="nil"/>
                    <w:tr2bl w:val="nil"/>
                  </w:tcBorders>
                  <w:vAlign w:val="center"/>
                </w:tcPr>
                <w:p w14:paraId="05386B03">
                  <w:pPr>
                    <w:spacing w:line="30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三级以上</w:t>
                  </w:r>
                </w:p>
              </w:tc>
              <w:tc>
                <w:tcPr>
                  <w:tcW w:w="1054" w:type="dxa"/>
                  <w:tcBorders>
                    <w:tl2br w:val="nil"/>
                    <w:tr2bl w:val="nil"/>
                  </w:tcBorders>
                  <w:vAlign w:val="center"/>
                </w:tcPr>
                <w:p w14:paraId="1849E7A0">
                  <w:pPr>
                    <w:spacing w:line="30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0</w:t>
                  </w:r>
                </w:p>
              </w:tc>
              <w:tc>
                <w:tcPr>
                  <w:tcW w:w="1150" w:type="dxa"/>
                  <w:tcBorders>
                    <w:tl2br w:val="nil"/>
                    <w:tr2bl w:val="nil"/>
                  </w:tcBorders>
                  <w:vAlign w:val="center"/>
                </w:tcPr>
                <w:p w14:paraId="40813F53">
                  <w:pPr>
                    <w:spacing w:line="300" w:lineRule="exact"/>
                    <w:jc w:val="center"/>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0.2</w:t>
                  </w:r>
                </w:p>
              </w:tc>
              <w:tc>
                <w:tcPr>
                  <w:tcW w:w="934" w:type="dxa"/>
                  <w:tcBorders>
                    <w:tl2br w:val="nil"/>
                    <w:tr2bl w:val="nil"/>
                  </w:tcBorders>
                  <w:vAlign w:val="center"/>
                </w:tcPr>
                <w:p w14:paraId="39DB2741">
                  <w:pPr>
                    <w:spacing w:line="300" w:lineRule="exact"/>
                    <w:jc w:val="center"/>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6</w:t>
                  </w:r>
                </w:p>
              </w:tc>
            </w:tr>
          </w:tbl>
          <w:p w14:paraId="7BA08D34">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本项目复垦进度表见表5-</w:t>
            </w:r>
            <w:r>
              <w:rPr>
                <w:rFonts w:hint="eastAsia"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w:t>
            </w:r>
          </w:p>
          <w:p w14:paraId="7EA7D3A9">
            <w:pPr>
              <w:spacing w:line="360" w:lineRule="auto"/>
              <w:jc w:val="center"/>
              <w:rPr>
                <w:rFonts w:hint="eastAsia"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表5-</w:t>
            </w:r>
            <w:r>
              <w:rPr>
                <w:rFonts w:hint="eastAsia" w:cs="Times New Roman"/>
                <w:b/>
                <w:bCs/>
                <w:color w:val="auto"/>
                <w:szCs w:val="21"/>
                <w:lang w:val="en-US" w:eastAsia="zh-CN"/>
              </w:rPr>
              <w:t>2</w:t>
            </w:r>
            <w:r>
              <w:rPr>
                <w:rFonts w:hint="eastAsia" w:ascii="Times New Roman" w:hAnsi="Times New Roman" w:eastAsia="宋体" w:cs="Times New Roman"/>
                <w:b/>
                <w:bCs/>
                <w:color w:val="auto"/>
                <w:szCs w:val="21"/>
                <w:lang w:val="en-US" w:eastAsia="zh-CN"/>
              </w:rPr>
              <w:t xml:space="preserve">    复垦工程复垦进度表</w:t>
            </w:r>
          </w:p>
          <w:tbl>
            <w:tblPr>
              <w:tblStyle w:val="54"/>
              <w:tblW w:w="8150" w:type="dxa"/>
              <w:tblInd w:w="-72"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2103"/>
              <w:gridCol w:w="924"/>
              <w:gridCol w:w="2029"/>
              <w:gridCol w:w="1615"/>
              <w:gridCol w:w="1479"/>
            </w:tblGrid>
            <w:tr w14:paraId="0339A74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103" w:type="dxa"/>
                  <w:vMerge w:val="restart"/>
                  <w:tcBorders>
                    <w:tl2br w:val="nil"/>
                    <w:tr2bl w:val="nil"/>
                  </w:tcBorders>
                  <w:vAlign w:val="center"/>
                </w:tcPr>
                <w:p w14:paraId="02B627A6">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复垦区</w:t>
                  </w:r>
                </w:p>
              </w:tc>
              <w:tc>
                <w:tcPr>
                  <w:tcW w:w="924" w:type="dxa"/>
                  <w:tcBorders>
                    <w:tl2br w:val="nil"/>
                    <w:tr2bl w:val="nil"/>
                  </w:tcBorders>
                  <w:vAlign w:val="center"/>
                </w:tcPr>
                <w:p w14:paraId="519682A9">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复垦面积</w:t>
                  </w:r>
                </w:p>
              </w:tc>
              <w:tc>
                <w:tcPr>
                  <w:tcW w:w="2029" w:type="dxa"/>
                  <w:vMerge w:val="restart"/>
                  <w:tcBorders>
                    <w:tl2br w:val="nil"/>
                    <w:tr2bl w:val="nil"/>
                  </w:tcBorders>
                  <w:vAlign w:val="center"/>
                </w:tcPr>
                <w:p w14:paraId="39AE639E">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复垦措施</w:t>
                  </w:r>
                </w:p>
              </w:tc>
              <w:tc>
                <w:tcPr>
                  <w:tcW w:w="1615" w:type="dxa"/>
                  <w:vMerge w:val="restart"/>
                  <w:tcBorders>
                    <w:tl2br w:val="nil"/>
                    <w:tr2bl w:val="nil"/>
                  </w:tcBorders>
                  <w:vAlign w:val="center"/>
                </w:tcPr>
                <w:p w14:paraId="0556238D">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复垦时间</w:t>
                  </w:r>
                </w:p>
              </w:tc>
              <w:tc>
                <w:tcPr>
                  <w:tcW w:w="1479" w:type="dxa"/>
                  <w:vMerge w:val="restart"/>
                  <w:tcBorders>
                    <w:tl2br w:val="nil"/>
                    <w:tr2bl w:val="nil"/>
                  </w:tcBorders>
                  <w:vAlign w:val="center"/>
                </w:tcPr>
                <w:p w14:paraId="14B738E9">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复垦投资（万元）</w:t>
                  </w:r>
                </w:p>
              </w:tc>
            </w:tr>
            <w:tr w14:paraId="7E31BA0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103" w:type="dxa"/>
                  <w:vMerge w:val="continue"/>
                  <w:tcBorders>
                    <w:tl2br w:val="nil"/>
                    <w:tr2bl w:val="nil"/>
                  </w:tcBorders>
                  <w:vAlign w:val="center"/>
                </w:tcPr>
                <w:p w14:paraId="44FD55A3">
                  <w:pPr>
                    <w:spacing w:line="300" w:lineRule="exact"/>
                    <w:jc w:val="center"/>
                    <w:rPr>
                      <w:rFonts w:hint="eastAsia" w:ascii="Times New Roman" w:hAnsi="Times New Roman" w:eastAsia="宋体" w:cs="Times New Roman"/>
                      <w:color w:val="auto"/>
                      <w:sz w:val="21"/>
                      <w:szCs w:val="21"/>
                      <w:lang w:val="en-US" w:eastAsia="zh-CN"/>
                    </w:rPr>
                  </w:pPr>
                </w:p>
              </w:tc>
              <w:tc>
                <w:tcPr>
                  <w:tcW w:w="924" w:type="dxa"/>
                  <w:tcBorders>
                    <w:tl2br w:val="nil"/>
                    <w:tr2bl w:val="nil"/>
                  </w:tcBorders>
                  <w:vAlign w:val="center"/>
                </w:tcPr>
                <w:p w14:paraId="4A99856C">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hm</w:t>
                  </w:r>
                  <w:r>
                    <w:rPr>
                      <w:rFonts w:hint="eastAsia" w:ascii="Times New Roman" w:hAnsi="Times New Roman" w:eastAsia="宋体" w:cs="Times New Roman"/>
                      <w:color w:val="auto"/>
                      <w:sz w:val="21"/>
                      <w:szCs w:val="21"/>
                      <w:vertAlign w:val="superscript"/>
                      <w:lang w:val="en-US" w:eastAsia="zh-CN"/>
                    </w:rPr>
                    <w:t>2</w:t>
                  </w:r>
                </w:p>
              </w:tc>
              <w:tc>
                <w:tcPr>
                  <w:tcW w:w="2029" w:type="dxa"/>
                  <w:vMerge w:val="continue"/>
                  <w:tcBorders>
                    <w:tl2br w:val="nil"/>
                    <w:tr2bl w:val="nil"/>
                  </w:tcBorders>
                  <w:vAlign w:val="center"/>
                </w:tcPr>
                <w:p w14:paraId="26ABE809">
                  <w:pPr>
                    <w:spacing w:line="300" w:lineRule="exact"/>
                    <w:jc w:val="center"/>
                    <w:rPr>
                      <w:rFonts w:hint="eastAsia" w:ascii="Times New Roman" w:hAnsi="Times New Roman" w:eastAsia="宋体" w:cs="Times New Roman"/>
                      <w:color w:val="auto"/>
                      <w:sz w:val="21"/>
                      <w:szCs w:val="21"/>
                      <w:lang w:val="en-US" w:eastAsia="zh-CN"/>
                    </w:rPr>
                  </w:pPr>
                </w:p>
              </w:tc>
              <w:tc>
                <w:tcPr>
                  <w:tcW w:w="1615" w:type="dxa"/>
                  <w:vMerge w:val="continue"/>
                  <w:tcBorders>
                    <w:tl2br w:val="nil"/>
                    <w:tr2bl w:val="nil"/>
                  </w:tcBorders>
                  <w:vAlign w:val="center"/>
                </w:tcPr>
                <w:p w14:paraId="50740CBB">
                  <w:pPr>
                    <w:spacing w:line="300" w:lineRule="exact"/>
                    <w:jc w:val="center"/>
                    <w:rPr>
                      <w:rFonts w:hint="eastAsia" w:ascii="Times New Roman" w:hAnsi="Times New Roman" w:eastAsia="宋体" w:cs="Times New Roman"/>
                      <w:color w:val="auto"/>
                      <w:sz w:val="21"/>
                      <w:szCs w:val="21"/>
                      <w:lang w:val="en-US" w:eastAsia="zh-CN"/>
                    </w:rPr>
                  </w:pPr>
                </w:p>
              </w:tc>
              <w:tc>
                <w:tcPr>
                  <w:tcW w:w="1479" w:type="dxa"/>
                  <w:vMerge w:val="continue"/>
                  <w:tcBorders>
                    <w:tl2br w:val="nil"/>
                    <w:tr2bl w:val="nil"/>
                  </w:tcBorders>
                  <w:vAlign w:val="center"/>
                </w:tcPr>
                <w:p w14:paraId="382AF304">
                  <w:pPr>
                    <w:spacing w:line="300" w:lineRule="exact"/>
                    <w:jc w:val="center"/>
                    <w:rPr>
                      <w:rFonts w:hint="eastAsia" w:ascii="Times New Roman" w:hAnsi="Times New Roman" w:eastAsia="宋体" w:cs="Times New Roman"/>
                      <w:color w:val="auto"/>
                      <w:sz w:val="21"/>
                      <w:szCs w:val="21"/>
                      <w:lang w:val="en-US" w:eastAsia="zh-CN"/>
                    </w:rPr>
                  </w:pPr>
                </w:p>
              </w:tc>
            </w:tr>
            <w:tr w14:paraId="7F0E724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103" w:type="dxa"/>
                  <w:tcBorders>
                    <w:tl2br w:val="nil"/>
                    <w:tr2bl w:val="nil"/>
                  </w:tcBorders>
                  <w:vAlign w:val="center"/>
                </w:tcPr>
                <w:p w14:paraId="0D855CD0">
                  <w:pPr>
                    <w:spacing w:line="300" w:lineRule="exact"/>
                    <w:jc w:val="center"/>
                    <w:rPr>
                      <w:rFonts w:hint="eastAsia"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施工占地</w:t>
                  </w:r>
                </w:p>
              </w:tc>
              <w:tc>
                <w:tcPr>
                  <w:tcW w:w="924" w:type="dxa"/>
                  <w:tcBorders>
                    <w:tl2br w:val="nil"/>
                    <w:tr2bl w:val="nil"/>
                  </w:tcBorders>
                  <w:vAlign w:val="center"/>
                </w:tcPr>
                <w:p w14:paraId="57CD481D">
                  <w:pPr>
                    <w:spacing w:line="300" w:lineRule="exact"/>
                    <w:jc w:val="center"/>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0.2</w:t>
                  </w:r>
                </w:p>
              </w:tc>
              <w:tc>
                <w:tcPr>
                  <w:tcW w:w="2029" w:type="dxa"/>
                  <w:tcBorders>
                    <w:tl2br w:val="nil"/>
                    <w:tr2bl w:val="nil"/>
                  </w:tcBorders>
                  <w:vAlign w:val="center"/>
                </w:tcPr>
                <w:p w14:paraId="68B5CD21">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地表清理、土地翻耕 土地平整、恢复植被</w:t>
                  </w:r>
                </w:p>
              </w:tc>
              <w:tc>
                <w:tcPr>
                  <w:tcW w:w="1615" w:type="dxa"/>
                  <w:tcBorders>
                    <w:tl2br w:val="nil"/>
                    <w:tr2bl w:val="nil"/>
                  </w:tcBorders>
                  <w:vAlign w:val="center"/>
                </w:tcPr>
                <w:p w14:paraId="75C83757">
                  <w:pPr>
                    <w:spacing w:line="30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2026年至2027年</w:t>
                  </w:r>
                </w:p>
              </w:tc>
              <w:tc>
                <w:tcPr>
                  <w:tcW w:w="1479" w:type="dxa"/>
                  <w:tcBorders>
                    <w:tl2br w:val="nil"/>
                    <w:tr2bl w:val="nil"/>
                  </w:tcBorders>
                  <w:vAlign w:val="center"/>
                </w:tcPr>
                <w:p w14:paraId="12CBAAD2">
                  <w:pPr>
                    <w:spacing w:line="300" w:lineRule="exact"/>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300</w:t>
                  </w:r>
                </w:p>
              </w:tc>
            </w:tr>
          </w:tbl>
          <w:p w14:paraId="545B7478">
            <w:pPr>
              <w:rPr>
                <w:rFonts w:hint="default"/>
                <w:color w:val="auto"/>
                <w:lang w:val="en-US"/>
              </w:rPr>
            </w:pPr>
          </w:p>
        </w:tc>
      </w:tr>
      <w:tr w14:paraId="0F6B1A3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651" w:type="dxa"/>
            <w:vAlign w:val="center"/>
          </w:tcPr>
          <w:p w14:paraId="4A2118EE">
            <w:pPr>
              <w:spacing w:line="360" w:lineRule="auto"/>
              <w:jc w:val="center"/>
              <w:rPr>
                <w:rFonts w:eastAsia="Times New Roman"/>
                <w:color w:val="auto"/>
                <w:sz w:val="24"/>
              </w:rPr>
            </w:pPr>
            <w:r>
              <w:rPr>
                <w:rFonts w:eastAsia="Times New Roman"/>
                <w:color w:val="auto"/>
                <w:sz w:val="24"/>
              </w:rPr>
              <w:t>其他</w:t>
            </w:r>
          </w:p>
        </w:tc>
        <w:tc>
          <w:tcPr>
            <w:tcW w:w="8260" w:type="dxa"/>
            <w:vAlign w:val="center"/>
          </w:tcPr>
          <w:p w14:paraId="68635271">
            <w:pPr>
              <w:spacing w:line="360" w:lineRule="auto"/>
              <w:jc w:val="center"/>
              <w:rPr>
                <w:rFonts w:hint="eastAsia" w:eastAsia="宋体"/>
                <w:color w:val="auto"/>
                <w:sz w:val="24"/>
                <w:lang w:val="en-US" w:eastAsia="zh-CN"/>
              </w:rPr>
            </w:pPr>
            <w:r>
              <w:rPr>
                <w:rFonts w:hint="eastAsia" w:eastAsia="宋体"/>
                <w:color w:val="auto"/>
                <w:sz w:val="24"/>
                <w:lang w:val="en-US" w:eastAsia="zh-CN"/>
              </w:rPr>
              <w:t>无</w:t>
            </w:r>
          </w:p>
        </w:tc>
      </w:tr>
      <w:tr w14:paraId="6B35630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Ex>
        <w:trPr>
          <w:trHeight w:val="354" w:hRule="atLeast"/>
          <w:jc w:val="center"/>
        </w:trPr>
        <w:tc>
          <w:tcPr>
            <w:tcW w:w="651" w:type="dxa"/>
            <w:vAlign w:val="center"/>
          </w:tcPr>
          <w:p w14:paraId="2725EAF4">
            <w:pPr>
              <w:snapToGrid w:val="0"/>
              <w:jc w:val="center"/>
              <w:rPr>
                <w:rFonts w:eastAsia="Times New Roman"/>
                <w:color w:val="auto"/>
                <w:spacing w:val="10"/>
                <w:szCs w:val="21"/>
              </w:rPr>
            </w:pPr>
            <w:bookmarkStart w:id="12" w:name="_Hlk72221287"/>
            <w:r>
              <w:rPr>
                <w:rFonts w:eastAsia="Times New Roman"/>
                <w:color w:val="auto"/>
                <w:sz w:val="24"/>
              </w:rPr>
              <w:t>环保投资</w:t>
            </w:r>
            <w:bookmarkEnd w:id="12"/>
          </w:p>
        </w:tc>
        <w:tc>
          <w:tcPr>
            <w:tcW w:w="8260" w:type="dxa"/>
          </w:tcPr>
          <w:p w14:paraId="7AE5AAD2">
            <w:pPr>
              <w:spacing w:line="360" w:lineRule="auto"/>
              <w:ind w:firstLine="480"/>
              <w:rPr>
                <w:rFonts w:eastAsia="Times New Roman"/>
                <w:color w:val="auto"/>
                <w:szCs w:val="21"/>
              </w:rPr>
            </w:pPr>
            <w:r>
              <w:rPr>
                <w:rFonts w:eastAsia="Times New Roman"/>
                <w:color w:val="auto"/>
                <w:sz w:val="24"/>
              </w:rPr>
              <w:t>项目总投资</w:t>
            </w:r>
            <w:r>
              <w:rPr>
                <w:rFonts w:hint="eastAsia" w:eastAsia="宋体"/>
                <w:color w:val="auto"/>
                <w:sz w:val="24"/>
                <w:lang w:val="en-US" w:eastAsia="zh-CN"/>
              </w:rPr>
              <w:t>44319.03</w:t>
            </w:r>
            <w:r>
              <w:rPr>
                <w:rFonts w:eastAsia="Times New Roman"/>
                <w:color w:val="auto"/>
                <w:sz w:val="24"/>
              </w:rPr>
              <w:t>万元，其中环保投</w:t>
            </w:r>
            <w:r>
              <w:rPr>
                <w:rFonts w:hint="eastAsia"/>
                <w:color w:val="auto"/>
                <w:sz w:val="24"/>
                <w:lang w:val="en-US" w:eastAsia="zh-CN"/>
              </w:rPr>
              <w:t>1350万</w:t>
            </w:r>
            <w:r>
              <w:rPr>
                <w:rFonts w:eastAsia="Times New Roman"/>
                <w:color w:val="auto"/>
                <w:sz w:val="24"/>
              </w:rPr>
              <w:t>元，占总投资的</w:t>
            </w:r>
            <w:r>
              <w:rPr>
                <w:rFonts w:hint="eastAsia"/>
                <w:color w:val="auto"/>
                <w:sz w:val="24"/>
                <w:lang w:val="en-US" w:eastAsia="zh-CN"/>
              </w:rPr>
              <w:t>3.05</w:t>
            </w:r>
            <w:r>
              <w:rPr>
                <w:rFonts w:eastAsia="Times New Roman"/>
                <w:color w:val="auto"/>
                <w:sz w:val="24"/>
              </w:rPr>
              <w:t>%。投资估算见表5-</w:t>
            </w:r>
            <w:r>
              <w:rPr>
                <w:rFonts w:hint="eastAsia"/>
                <w:color w:val="auto"/>
                <w:sz w:val="24"/>
                <w:lang w:val="en-US" w:eastAsia="zh-CN"/>
              </w:rPr>
              <w:t>3</w:t>
            </w:r>
            <w:r>
              <w:rPr>
                <w:rFonts w:eastAsia="Times New Roman"/>
                <w:color w:val="auto"/>
                <w:sz w:val="24"/>
              </w:rPr>
              <w:t>。</w:t>
            </w:r>
          </w:p>
          <w:p w14:paraId="4DD3F41A">
            <w:pPr>
              <w:adjustRightInd w:val="0"/>
              <w:snapToGrid w:val="0"/>
              <w:jc w:val="center"/>
              <w:rPr>
                <w:rFonts w:hint="eastAsia" w:eastAsia="宋体"/>
                <w:b/>
                <w:color w:val="auto"/>
                <w:szCs w:val="28"/>
                <w:lang w:val="en-US" w:eastAsia="zh-CN"/>
              </w:rPr>
            </w:pPr>
            <w:r>
              <w:rPr>
                <w:rFonts w:hint="eastAsia" w:eastAsia="宋体"/>
                <w:b/>
                <w:color w:val="auto"/>
                <w:szCs w:val="28"/>
                <w:lang w:val="en-US" w:eastAsia="zh-CN"/>
              </w:rPr>
              <w:t>表5-</w:t>
            </w:r>
            <w:r>
              <w:rPr>
                <w:rFonts w:hint="eastAsia"/>
                <w:b/>
                <w:color w:val="auto"/>
                <w:szCs w:val="28"/>
                <w:lang w:val="en-US" w:eastAsia="zh-CN"/>
              </w:rPr>
              <w:t>3</w:t>
            </w:r>
            <w:r>
              <w:rPr>
                <w:rFonts w:hint="eastAsia" w:eastAsia="宋体"/>
                <w:b/>
                <w:color w:val="auto"/>
                <w:szCs w:val="28"/>
                <w:lang w:val="en-US" w:eastAsia="zh-CN"/>
              </w:rPr>
              <w:t xml:space="preserve">    环保投资一览表</w:t>
            </w:r>
          </w:p>
          <w:tbl>
            <w:tblPr>
              <w:tblStyle w:val="19"/>
              <w:tblpPr w:leftFromText="180" w:rightFromText="180" w:vertAnchor="text" w:horzAnchor="page" w:tblpXSpec="center" w:tblpY="80"/>
              <w:tblOverlap w:val="never"/>
              <w:tblW w:w="809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537"/>
              <w:gridCol w:w="976"/>
              <w:gridCol w:w="963"/>
              <w:gridCol w:w="1142"/>
              <w:gridCol w:w="2412"/>
              <w:gridCol w:w="1343"/>
              <w:gridCol w:w="725"/>
            </w:tblGrid>
            <w:tr w14:paraId="26A31C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74" w:hRule="atLeast"/>
                <w:tblHeader/>
                <w:jc w:val="center"/>
              </w:trPr>
              <w:tc>
                <w:tcPr>
                  <w:tcW w:w="331" w:type="pct"/>
                  <w:tcBorders>
                    <w:tl2br w:val="nil"/>
                    <w:tr2bl w:val="nil"/>
                  </w:tcBorders>
                  <w:noWrap w:val="0"/>
                  <w:vAlign w:val="center"/>
                </w:tcPr>
                <w:p w14:paraId="0BE9D5BB">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类别</w:t>
                  </w:r>
                </w:p>
              </w:tc>
              <w:tc>
                <w:tcPr>
                  <w:tcW w:w="1197" w:type="pct"/>
                  <w:gridSpan w:val="2"/>
                  <w:tcBorders>
                    <w:tl2br w:val="nil"/>
                    <w:tr2bl w:val="nil"/>
                  </w:tcBorders>
                  <w:noWrap w:val="0"/>
                  <w:vAlign w:val="center"/>
                </w:tcPr>
                <w:p w14:paraId="5C737A23">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污染源</w:t>
                  </w:r>
                </w:p>
              </w:tc>
              <w:tc>
                <w:tcPr>
                  <w:tcW w:w="2194" w:type="pct"/>
                  <w:gridSpan w:val="2"/>
                  <w:tcBorders>
                    <w:tl2br w:val="nil"/>
                    <w:tr2bl w:val="nil"/>
                  </w:tcBorders>
                  <w:noWrap w:val="0"/>
                  <w:vAlign w:val="center"/>
                </w:tcPr>
                <w:p w14:paraId="5FF8AFAB">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拟采取的处理措施</w:t>
                  </w:r>
                </w:p>
              </w:tc>
              <w:tc>
                <w:tcPr>
                  <w:tcW w:w="829" w:type="pct"/>
                  <w:tcBorders>
                    <w:tl2br w:val="nil"/>
                    <w:tr2bl w:val="nil"/>
                  </w:tcBorders>
                  <w:noWrap w:val="0"/>
                  <w:vAlign w:val="center"/>
                </w:tcPr>
                <w:p w14:paraId="61ED7C80">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完成时间</w:t>
                  </w:r>
                </w:p>
              </w:tc>
              <w:tc>
                <w:tcPr>
                  <w:tcW w:w="447" w:type="pct"/>
                  <w:tcBorders>
                    <w:tl2br w:val="nil"/>
                    <w:tr2bl w:val="nil"/>
                  </w:tcBorders>
                  <w:noWrap w:val="0"/>
                  <w:vAlign w:val="center"/>
                </w:tcPr>
                <w:p w14:paraId="7C4411C5">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总投资(万元)</w:t>
                  </w:r>
                </w:p>
              </w:tc>
            </w:tr>
            <w:tr w14:paraId="75D16D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restart"/>
                  <w:tcBorders>
                    <w:tl2br w:val="nil"/>
                    <w:tr2bl w:val="nil"/>
                  </w:tcBorders>
                  <w:noWrap w:val="0"/>
                  <w:vAlign w:val="center"/>
                </w:tcPr>
                <w:p w14:paraId="418DBC04">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废气</w:t>
                  </w:r>
                </w:p>
              </w:tc>
              <w:tc>
                <w:tcPr>
                  <w:tcW w:w="1197" w:type="pct"/>
                  <w:gridSpan w:val="2"/>
                  <w:tcBorders>
                    <w:tl2br w:val="nil"/>
                    <w:tr2bl w:val="nil"/>
                  </w:tcBorders>
                  <w:noWrap w:val="0"/>
                  <w:vAlign w:val="center"/>
                </w:tcPr>
                <w:p w14:paraId="2273392B">
                  <w:pPr>
                    <w:spacing w:line="300" w:lineRule="exact"/>
                    <w:jc w:val="center"/>
                    <w:rPr>
                      <w:rFonts w:hint="default" w:ascii="Times New Roman" w:hAnsi="Times New Roman" w:cs="Times New Roman"/>
                      <w:b w:val="0"/>
                      <w:bCs w:val="0"/>
                      <w:color w:val="auto"/>
                      <w:kern w:val="0"/>
                      <w:sz w:val="21"/>
                      <w:szCs w:val="21"/>
                    </w:rPr>
                  </w:pPr>
                  <w:r>
                    <w:rPr>
                      <w:rFonts w:hint="default" w:ascii="Times New Roman" w:hAnsi="Times New Roman" w:cs="Times New Roman"/>
                      <w:b w:val="0"/>
                      <w:bCs w:val="0"/>
                      <w:color w:val="auto"/>
                      <w:kern w:val="0"/>
                      <w:sz w:val="21"/>
                      <w:szCs w:val="21"/>
                    </w:rPr>
                    <w:t>柴油发电机烟气</w:t>
                  </w:r>
                </w:p>
              </w:tc>
              <w:tc>
                <w:tcPr>
                  <w:tcW w:w="2194" w:type="pct"/>
                  <w:gridSpan w:val="2"/>
                  <w:tcBorders>
                    <w:tl2br w:val="nil"/>
                    <w:tr2bl w:val="nil"/>
                  </w:tcBorders>
                  <w:noWrap w:val="0"/>
                  <w:vAlign w:val="center"/>
                </w:tcPr>
                <w:p w14:paraId="5A1F4A1C">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选用环保型柴油发电机，使用优质轻柴油；柴油机加装尾气净化装置</w:t>
                  </w:r>
                </w:p>
              </w:tc>
              <w:tc>
                <w:tcPr>
                  <w:tcW w:w="829" w:type="pct"/>
                  <w:tcBorders>
                    <w:tl2br w:val="nil"/>
                    <w:tr2bl w:val="nil"/>
                  </w:tcBorders>
                  <w:noWrap w:val="0"/>
                  <w:vAlign w:val="center"/>
                </w:tcPr>
                <w:p w14:paraId="486430A3">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钻井工程过程</w:t>
                  </w:r>
                </w:p>
              </w:tc>
              <w:tc>
                <w:tcPr>
                  <w:tcW w:w="447" w:type="pct"/>
                  <w:tcBorders>
                    <w:tl2br w:val="nil"/>
                    <w:tr2bl w:val="nil"/>
                  </w:tcBorders>
                  <w:noWrap w:val="0"/>
                  <w:vAlign w:val="center"/>
                </w:tcPr>
                <w:p w14:paraId="49FCAB49">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85</w:t>
                  </w:r>
                </w:p>
              </w:tc>
            </w:tr>
            <w:tr w14:paraId="0FA094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continue"/>
                  <w:tcBorders>
                    <w:tl2br w:val="nil"/>
                    <w:tr2bl w:val="nil"/>
                  </w:tcBorders>
                  <w:noWrap w:val="0"/>
                  <w:vAlign w:val="center"/>
                </w:tcPr>
                <w:p w14:paraId="3CAB0BF7">
                  <w:pPr>
                    <w:spacing w:line="300" w:lineRule="exact"/>
                    <w:jc w:val="center"/>
                    <w:rPr>
                      <w:rFonts w:hint="default" w:ascii="Times New Roman" w:hAnsi="Times New Roman" w:cs="Times New Roman"/>
                      <w:b w:val="0"/>
                      <w:bCs w:val="0"/>
                      <w:color w:val="auto"/>
                      <w:sz w:val="21"/>
                      <w:szCs w:val="21"/>
                    </w:rPr>
                  </w:pPr>
                </w:p>
              </w:tc>
              <w:tc>
                <w:tcPr>
                  <w:tcW w:w="1197" w:type="pct"/>
                  <w:gridSpan w:val="2"/>
                  <w:tcBorders>
                    <w:tl2br w:val="nil"/>
                    <w:tr2bl w:val="nil"/>
                  </w:tcBorders>
                  <w:noWrap w:val="0"/>
                  <w:vAlign w:val="center"/>
                </w:tcPr>
                <w:p w14:paraId="157D1B2F">
                  <w:pPr>
                    <w:spacing w:line="300" w:lineRule="exact"/>
                    <w:jc w:val="center"/>
                    <w:rPr>
                      <w:rFonts w:hint="default" w:ascii="Times New Roman" w:hAnsi="Times New Roman" w:cs="Times New Roman"/>
                      <w:b w:val="0"/>
                      <w:bCs w:val="0"/>
                      <w:color w:val="auto"/>
                      <w:kern w:val="0"/>
                      <w:sz w:val="21"/>
                      <w:szCs w:val="21"/>
                    </w:rPr>
                  </w:pPr>
                  <w:r>
                    <w:rPr>
                      <w:rFonts w:hint="default" w:ascii="Times New Roman" w:hAnsi="Times New Roman" w:cs="Times New Roman"/>
                      <w:b w:val="0"/>
                      <w:bCs w:val="0"/>
                      <w:color w:val="auto"/>
                      <w:kern w:val="0"/>
                      <w:sz w:val="21"/>
                      <w:szCs w:val="21"/>
                    </w:rPr>
                    <w:t>施工扬尘</w:t>
                  </w:r>
                </w:p>
              </w:tc>
              <w:tc>
                <w:tcPr>
                  <w:tcW w:w="2194" w:type="pct"/>
                  <w:gridSpan w:val="2"/>
                  <w:tcBorders>
                    <w:tl2br w:val="nil"/>
                    <w:tr2bl w:val="nil"/>
                  </w:tcBorders>
                  <w:noWrap w:val="0"/>
                  <w:vAlign w:val="center"/>
                </w:tcPr>
                <w:p w14:paraId="6905ABE7">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洒水抑尘、物料遮盖、密闭运输</w:t>
                  </w:r>
                </w:p>
              </w:tc>
              <w:tc>
                <w:tcPr>
                  <w:tcW w:w="829" w:type="pct"/>
                  <w:tcBorders>
                    <w:tl2br w:val="nil"/>
                    <w:tr2bl w:val="nil"/>
                  </w:tcBorders>
                  <w:noWrap w:val="0"/>
                  <w:vAlign w:val="center"/>
                </w:tcPr>
                <w:p w14:paraId="750C9B26">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钻前工程过程</w:t>
                  </w:r>
                </w:p>
              </w:tc>
              <w:tc>
                <w:tcPr>
                  <w:tcW w:w="447" w:type="pct"/>
                  <w:tcBorders>
                    <w:tl2br w:val="nil"/>
                    <w:tr2bl w:val="nil"/>
                  </w:tcBorders>
                  <w:noWrap w:val="0"/>
                  <w:vAlign w:val="center"/>
                </w:tcPr>
                <w:p w14:paraId="6A3173FC">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80</w:t>
                  </w:r>
                </w:p>
              </w:tc>
            </w:tr>
            <w:tr w14:paraId="1D2EC6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restart"/>
                  <w:tcBorders>
                    <w:tl2br w:val="nil"/>
                    <w:tr2bl w:val="nil"/>
                  </w:tcBorders>
                  <w:noWrap w:val="0"/>
                  <w:vAlign w:val="center"/>
                </w:tcPr>
                <w:p w14:paraId="1417348E">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废水</w:t>
                  </w:r>
                </w:p>
              </w:tc>
              <w:tc>
                <w:tcPr>
                  <w:tcW w:w="602" w:type="pct"/>
                  <w:vMerge w:val="restart"/>
                  <w:tcBorders>
                    <w:tl2br w:val="nil"/>
                    <w:tr2bl w:val="nil"/>
                  </w:tcBorders>
                  <w:noWrap w:val="0"/>
                  <w:vAlign w:val="center"/>
                </w:tcPr>
                <w:p w14:paraId="753A6EC6">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施工期</w:t>
                  </w:r>
                </w:p>
              </w:tc>
              <w:tc>
                <w:tcPr>
                  <w:tcW w:w="594" w:type="pct"/>
                  <w:tcBorders>
                    <w:tl2br w:val="nil"/>
                    <w:tr2bl w:val="nil"/>
                  </w:tcBorders>
                  <w:shd w:val="clear" w:color="auto" w:fill="auto"/>
                  <w:noWrap w:val="0"/>
                  <w:vAlign w:val="center"/>
                </w:tcPr>
                <w:p w14:paraId="6131DFEF">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eastAsia="zh-CN"/>
                    </w:rPr>
                    <w:t>生活污水</w:t>
                  </w:r>
                </w:p>
              </w:tc>
              <w:tc>
                <w:tcPr>
                  <w:tcW w:w="2194" w:type="pct"/>
                  <w:gridSpan w:val="2"/>
                  <w:tcBorders>
                    <w:tl2br w:val="nil"/>
                    <w:tr2bl w:val="nil"/>
                  </w:tcBorders>
                  <w:noWrap w:val="0"/>
                  <w:vAlign w:val="center"/>
                </w:tcPr>
                <w:p w14:paraId="4F3B756E">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依托现有一体化处理设备进行二级处理，回用于鄂温克电厂用水</w:t>
                  </w:r>
                  <w:r>
                    <w:rPr>
                      <w:rFonts w:hint="default" w:ascii="Times New Roman" w:hAnsi="Times New Roman" w:eastAsia="宋体" w:cs="Times New Roman"/>
                      <w:b w:val="0"/>
                      <w:bCs w:val="0"/>
                      <w:color w:val="auto"/>
                      <w:sz w:val="21"/>
                      <w:szCs w:val="21"/>
                      <w:lang w:val="en-US" w:eastAsia="zh-CN"/>
                    </w:rPr>
                    <w:t>。</w:t>
                  </w:r>
                </w:p>
              </w:tc>
              <w:tc>
                <w:tcPr>
                  <w:tcW w:w="829" w:type="pct"/>
                  <w:tcBorders>
                    <w:tl2br w:val="nil"/>
                    <w:tr2bl w:val="nil"/>
                  </w:tcBorders>
                  <w:noWrap w:val="0"/>
                  <w:vAlign w:val="center"/>
                </w:tcPr>
                <w:p w14:paraId="73E0D1EC">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钻井工程过程</w:t>
                  </w:r>
                </w:p>
              </w:tc>
              <w:tc>
                <w:tcPr>
                  <w:tcW w:w="447" w:type="pct"/>
                  <w:tcBorders>
                    <w:tl2br w:val="nil"/>
                    <w:tr2bl w:val="nil"/>
                  </w:tcBorders>
                  <w:noWrap w:val="0"/>
                  <w:vAlign w:val="center"/>
                </w:tcPr>
                <w:p w14:paraId="19C81BC1">
                  <w:pPr>
                    <w:spacing w:line="300" w:lineRule="exact"/>
                    <w:jc w:val="center"/>
                    <w:rPr>
                      <w:rFonts w:hint="default" w:ascii="Times New Roman" w:hAnsi="Times New Roman" w:eastAsia="宋体" w:cs="Times New Roman"/>
                      <w:b w:val="0"/>
                      <w:bCs w:val="0"/>
                      <w:color w:val="auto"/>
                      <w:sz w:val="21"/>
                      <w:szCs w:val="21"/>
                      <w:lang w:eastAsia="zh-CN"/>
                    </w:rPr>
                  </w:pPr>
                  <w:r>
                    <w:rPr>
                      <w:rFonts w:hint="default" w:ascii="Times New Roman" w:hAnsi="Times New Roman" w:cs="Times New Roman"/>
                      <w:b w:val="0"/>
                      <w:bCs w:val="0"/>
                      <w:color w:val="auto"/>
                      <w:sz w:val="21"/>
                      <w:szCs w:val="21"/>
                      <w:lang w:val="en-US" w:eastAsia="zh-CN"/>
                    </w:rPr>
                    <w:t>0</w:t>
                  </w:r>
                </w:p>
              </w:tc>
            </w:tr>
            <w:tr w14:paraId="29E3BE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continue"/>
                  <w:tcBorders>
                    <w:tl2br w:val="nil"/>
                    <w:tr2bl w:val="nil"/>
                  </w:tcBorders>
                  <w:noWrap w:val="0"/>
                  <w:vAlign w:val="center"/>
                </w:tcPr>
                <w:p w14:paraId="5C68842A">
                  <w:pPr>
                    <w:spacing w:line="300" w:lineRule="exact"/>
                    <w:jc w:val="center"/>
                    <w:rPr>
                      <w:rFonts w:hint="default" w:ascii="Times New Roman" w:hAnsi="Times New Roman" w:cs="Times New Roman"/>
                      <w:b w:val="0"/>
                      <w:bCs w:val="0"/>
                      <w:color w:val="auto"/>
                      <w:sz w:val="21"/>
                      <w:szCs w:val="21"/>
                    </w:rPr>
                  </w:pPr>
                </w:p>
              </w:tc>
              <w:tc>
                <w:tcPr>
                  <w:tcW w:w="602" w:type="pct"/>
                  <w:vMerge w:val="continue"/>
                  <w:tcBorders>
                    <w:tl2br w:val="nil"/>
                    <w:tr2bl w:val="nil"/>
                  </w:tcBorders>
                  <w:noWrap w:val="0"/>
                  <w:vAlign w:val="center"/>
                </w:tcPr>
                <w:p w14:paraId="0715D85C">
                  <w:pPr>
                    <w:spacing w:line="300" w:lineRule="exact"/>
                    <w:jc w:val="center"/>
                    <w:rPr>
                      <w:rFonts w:hint="default" w:ascii="Times New Roman" w:hAnsi="Times New Roman" w:cs="Times New Roman"/>
                      <w:b w:val="0"/>
                      <w:bCs w:val="0"/>
                      <w:color w:val="auto"/>
                      <w:sz w:val="21"/>
                      <w:szCs w:val="21"/>
                    </w:rPr>
                  </w:pPr>
                </w:p>
              </w:tc>
              <w:tc>
                <w:tcPr>
                  <w:tcW w:w="594" w:type="pct"/>
                  <w:tcBorders>
                    <w:tl2br w:val="nil"/>
                    <w:tr2bl w:val="nil"/>
                  </w:tcBorders>
                  <w:shd w:val="clear" w:color="auto" w:fill="auto"/>
                  <w:noWrap w:val="0"/>
                  <w:vAlign w:val="center"/>
                </w:tcPr>
                <w:p w14:paraId="6835452C">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eastAsia="zh-CN"/>
                    </w:rPr>
                    <w:t>矿井涌水</w:t>
                  </w:r>
                </w:p>
              </w:tc>
              <w:tc>
                <w:tcPr>
                  <w:tcW w:w="2194" w:type="pct"/>
                  <w:gridSpan w:val="2"/>
                  <w:vMerge w:val="restart"/>
                  <w:tcBorders>
                    <w:tl2br w:val="nil"/>
                    <w:tr2bl w:val="nil"/>
                  </w:tcBorders>
                  <w:noWrap w:val="0"/>
                  <w:vAlign w:val="center"/>
                </w:tcPr>
                <w:p w14:paraId="5E6B8E6F">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施工单位在现场布置3个沉淀池，单个沉淀池容积为5m×5m×1.5m。施工期间，矿井涌水和生产废水产生量约为60m</w:t>
                  </w:r>
                  <w:r>
                    <w:rPr>
                      <w:rFonts w:hint="eastAsia" w:ascii="Times New Roman" w:hAnsi="Times New Roman" w:eastAsia="宋体" w:cs="Times New Roman"/>
                      <w:b w:val="0"/>
                      <w:bCs w:val="0"/>
                      <w:color w:val="auto"/>
                      <w:sz w:val="21"/>
                      <w:szCs w:val="21"/>
                      <w:vertAlign w:val="superscript"/>
                      <w:lang w:val="en-US" w:eastAsia="zh-CN"/>
                    </w:rPr>
                    <w:t>3</w:t>
                  </w:r>
                  <w:r>
                    <w:rPr>
                      <w:rFonts w:hint="eastAsia" w:ascii="Times New Roman" w:hAnsi="Times New Roman" w:eastAsia="宋体" w:cs="Times New Roman"/>
                      <w:b w:val="0"/>
                      <w:bCs w:val="0"/>
                      <w:color w:val="auto"/>
                      <w:sz w:val="21"/>
                      <w:szCs w:val="21"/>
                      <w:lang w:val="en-US" w:eastAsia="zh-CN"/>
                    </w:rPr>
                    <w:t>/d，矿井涌水及生产废水排至三级沉淀池进行沉淀处理，处理后的废水依托矿区现有矿井涌水处理装置进行处置，处理达到《地表水环境质量标准》（GB3838-2002）</w:t>
                  </w:r>
                  <w:r>
                    <w:rPr>
                      <w:rFonts w:hint="eastAsia" w:ascii="Times New Roman" w:hAnsi="Times New Roman" w:eastAsia="宋体" w:cs="Times New Roman"/>
                      <w:b w:val="0"/>
                      <w:bCs w:val="0"/>
                      <w:color w:val="auto"/>
                      <w:sz w:val="21"/>
                      <w:szCs w:val="21"/>
                      <w:lang w:val="en-US" w:eastAsia="zh-CN"/>
                    </w:rPr>
                    <w:fldChar w:fldCharType="begin"/>
                  </w:r>
                  <w:r>
                    <w:rPr>
                      <w:rFonts w:hint="eastAsia" w:ascii="Times New Roman" w:hAnsi="Times New Roman" w:eastAsia="宋体" w:cs="Times New Roman"/>
                      <w:b w:val="0"/>
                      <w:bCs w:val="0"/>
                      <w:color w:val="auto"/>
                      <w:sz w:val="21"/>
                      <w:szCs w:val="21"/>
                      <w:lang w:val="en-US" w:eastAsia="zh-CN"/>
                    </w:rPr>
                    <w:instrText xml:space="preserve"> = 3 \* ROMAN \* MERGEFORMAT </w:instrText>
                  </w:r>
                  <w:r>
                    <w:rPr>
                      <w:rFonts w:hint="eastAsia" w:ascii="Times New Roman" w:hAnsi="Times New Roman" w:eastAsia="宋体" w:cs="Times New Roman"/>
                      <w:b w:val="0"/>
                      <w:bCs w:val="0"/>
                      <w:color w:val="auto"/>
                      <w:sz w:val="21"/>
                      <w:szCs w:val="21"/>
                      <w:lang w:val="en-US" w:eastAsia="zh-CN"/>
                    </w:rPr>
                    <w:fldChar w:fldCharType="separate"/>
                  </w:r>
                  <w:r>
                    <w:rPr>
                      <w:rFonts w:hint="eastAsia" w:ascii="Times New Roman" w:hAnsi="Times New Roman" w:eastAsia="宋体" w:cs="Times New Roman"/>
                      <w:b w:val="0"/>
                      <w:bCs w:val="0"/>
                      <w:color w:val="auto"/>
                      <w:sz w:val="21"/>
                      <w:szCs w:val="21"/>
                      <w:lang w:val="en-US" w:eastAsia="zh-CN"/>
                    </w:rPr>
                    <w:t>III</w:t>
                  </w:r>
                  <w:r>
                    <w:rPr>
                      <w:rFonts w:hint="eastAsia" w:ascii="Times New Roman" w:hAnsi="Times New Roman" w:eastAsia="宋体" w:cs="Times New Roman"/>
                      <w:b w:val="0"/>
                      <w:bCs w:val="0"/>
                      <w:color w:val="auto"/>
                      <w:sz w:val="21"/>
                      <w:szCs w:val="21"/>
                      <w:lang w:val="en-US" w:eastAsia="zh-CN"/>
                    </w:rPr>
                    <w:fldChar w:fldCharType="end"/>
                  </w:r>
                  <w:r>
                    <w:rPr>
                      <w:rFonts w:hint="eastAsia" w:ascii="Times New Roman" w:hAnsi="Times New Roman" w:eastAsia="宋体" w:cs="Times New Roman"/>
                      <w:b w:val="0"/>
                      <w:bCs w:val="0"/>
                      <w:color w:val="auto"/>
                      <w:sz w:val="21"/>
                      <w:szCs w:val="21"/>
                      <w:lang w:val="en-US" w:eastAsia="zh-CN"/>
                    </w:rPr>
                    <w:t>类标准后，部分回用于鄂温克电厂用水，部分外排至伊敏河。</w:t>
                  </w:r>
                </w:p>
              </w:tc>
              <w:tc>
                <w:tcPr>
                  <w:tcW w:w="829" w:type="pct"/>
                  <w:vMerge w:val="restart"/>
                  <w:tcBorders>
                    <w:tl2br w:val="nil"/>
                    <w:tr2bl w:val="nil"/>
                  </w:tcBorders>
                  <w:noWrap w:val="0"/>
                  <w:vAlign w:val="center"/>
                </w:tcPr>
                <w:p w14:paraId="35A51E5B">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钻前工程过程</w:t>
                  </w:r>
                </w:p>
              </w:tc>
              <w:tc>
                <w:tcPr>
                  <w:tcW w:w="447" w:type="pct"/>
                  <w:vMerge w:val="restart"/>
                  <w:tcBorders>
                    <w:tl2br w:val="nil"/>
                    <w:tr2bl w:val="nil"/>
                  </w:tcBorders>
                  <w:noWrap w:val="0"/>
                  <w:vAlign w:val="center"/>
                </w:tcPr>
                <w:p w14:paraId="35569B1F">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440</w:t>
                  </w:r>
                </w:p>
              </w:tc>
            </w:tr>
            <w:tr w14:paraId="6E73C3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continue"/>
                  <w:tcBorders>
                    <w:tl2br w:val="nil"/>
                    <w:tr2bl w:val="nil"/>
                  </w:tcBorders>
                  <w:noWrap w:val="0"/>
                  <w:vAlign w:val="center"/>
                </w:tcPr>
                <w:p w14:paraId="70C4FE51">
                  <w:pPr>
                    <w:spacing w:line="300" w:lineRule="exact"/>
                    <w:jc w:val="center"/>
                    <w:rPr>
                      <w:rFonts w:hint="default" w:ascii="Times New Roman" w:hAnsi="Times New Roman" w:cs="Times New Roman"/>
                      <w:b w:val="0"/>
                      <w:bCs w:val="0"/>
                      <w:color w:val="auto"/>
                      <w:sz w:val="21"/>
                      <w:szCs w:val="21"/>
                    </w:rPr>
                  </w:pPr>
                </w:p>
              </w:tc>
              <w:tc>
                <w:tcPr>
                  <w:tcW w:w="602" w:type="pct"/>
                  <w:vMerge w:val="continue"/>
                  <w:tcBorders>
                    <w:tl2br w:val="nil"/>
                    <w:tr2bl w:val="nil"/>
                  </w:tcBorders>
                  <w:noWrap w:val="0"/>
                  <w:vAlign w:val="center"/>
                </w:tcPr>
                <w:p w14:paraId="18AAD5C9">
                  <w:pPr>
                    <w:spacing w:line="300" w:lineRule="exact"/>
                    <w:jc w:val="center"/>
                    <w:rPr>
                      <w:rFonts w:hint="default" w:ascii="Times New Roman" w:hAnsi="Times New Roman" w:cs="Times New Roman"/>
                      <w:b w:val="0"/>
                      <w:bCs w:val="0"/>
                      <w:color w:val="auto"/>
                      <w:sz w:val="21"/>
                      <w:szCs w:val="21"/>
                    </w:rPr>
                  </w:pPr>
                </w:p>
              </w:tc>
              <w:tc>
                <w:tcPr>
                  <w:tcW w:w="594" w:type="pct"/>
                  <w:tcBorders>
                    <w:tl2br w:val="nil"/>
                    <w:tr2bl w:val="nil"/>
                  </w:tcBorders>
                  <w:shd w:val="clear" w:color="auto" w:fill="auto"/>
                  <w:noWrap w:val="0"/>
                  <w:vAlign w:val="center"/>
                </w:tcPr>
                <w:p w14:paraId="54F20148">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eastAsia="zh-CN"/>
                    </w:rPr>
                    <w:t>生产废水</w:t>
                  </w:r>
                </w:p>
              </w:tc>
              <w:tc>
                <w:tcPr>
                  <w:tcW w:w="2194" w:type="pct"/>
                  <w:gridSpan w:val="2"/>
                  <w:vMerge w:val="continue"/>
                  <w:tcBorders>
                    <w:tl2br w:val="nil"/>
                    <w:tr2bl w:val="nil"/>
                  </w:tcBorders>
                  <w:noWrap w:val="0"/>
                  <w:vAlign w:val="center"/>
                </w:tcPr>
                <w:p w14:paraId="6BB135A2">
                  <w:pPr>
                    <w:spacing w:line="300" w:lineRule="exact"/>
                    <w:jc w:val="center"/>
                    <w:rPr>
                      <w:rFonts w:hint="default" w:ascii="Times New Roman" w:hAnsi="Times New Roman" w:eastAsia="宋体" w:cs="Times New Roman"/>
                      <w:b w:val="0"/>
                      <w:bCs w:val="0"/>
                      <w:color w:val="auto"/>
                      <w:sz w:val="21"/>
                      <w:szCs w:val="21"/>
                      <w:lang w:eastAsia="zh-CN"/>
                    </w:rPr>
                  </w:pPr>
                </w:p>
              </w:tc>
              <w:tc>
                <w:tcPr>
                  <w:tcW w:w="829" w:type="pct"/>
                  <w:vMerge w:val="continue"/>
                  <w:tcBorders>
                    <w:tl2br w:val="nil"/>
                    <w:tr2bl w:val="nil"/>
                  </w:tcBorders>
                  <w:noWrap w:val="0"/>
                  <w:vAlign w:val="center"/>
                </w:tcPr>
                <w:p w14:paraId="5DCDCE9E">
                  <w:pPr>
                    <w:spacing w:line="300" w:lineRule="exact"/>
                    <w:jc w:val="center"/>
                    <w:rPr>
                      <w:rFonts w:hint="default" w:ascii="Times New Roman" w:hAnsi="Times New Roman" w:cs="Times New Roman"/>
                      <w:b w:val="0"/>
                      <w:bCs w:val="0"/>
                      <w:color w:val="auto"/>
                      <w:sz w:val="21"/>
                      <w:szCs w:val="21"/>
                    </w:rPr>
                  </w:pPr>
                </w:p>
              </w:tc>
              <w:tc>
                <w:tcPr>
                  <w:tcW w:w="447" w:type="pct"/>
                  <w:vMerge w:val="continue"/>
                  <w:tcBorders>
                    <w:tl2br w:val="nil"/>
                    <w:tr2bl w:val="nil"/>
                  </w:tcBorders>
                  <w:noWrap w:val="0"/>
                  <w:vAlign w:val="center"/>
                </w:tcPr>
                <w:p w14:paraId="45E9BEC1">
                  <w:pPr>
                    <w:spacing w:line="300" w:lineRule="exact"/>
                    <w:jc w:val="center"/>
                    <w:rPr>
                      <w:rFonts w:hint="default" w:ascii="Times New Roman" w:hAnsi="Times New Roman" w:eastAsia="宋体" w:cs="Times New Roman"/>
                      <w:b w:val="0"/>
                      <w:bCs w:val="0"/>
                      <w:color w:val="auto"/>
                      <w:sz w:val="21"/>
                      <w:szCs w:val="21"/>
                      <w:lang w:val="en-US" w:eastAsia="zh-CN"/>
                    </w:rPr>
                  </w:pPr>
                </w:p>
              </w:tc>
            </w:tr>
            <w:tr w14:paraId="29C05C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continue"/>
                  <w:tcBorders>
                    <w:tl2br w:val="nil"/>
                    <w:tr2bl w:val="nil"/>
                  </w:tcBorders>
                  <w:noWrap w:val="0"/>
                  <w:vAlign w:val="center"/>
                </w:tcPr>
                <w:p w14:paraId="261EE9A5">
                  <w:pPr>
                    <w:spacing w:line="300" w:lineRule="exact"/>
                    <w:jc w:val="center"/>
                    <w:rPr>
                      <w:rFonts w:hint="default" w:ascii="Times New Roman" w:hAnsi="Times New Roman" w:cs="Times New Roman"/>
                      <w:b w:val="0"/>
                      <w:bCs w:val="0"/>
                      <w:color w:val="auto"/>
                      <w:sz w:val="21"/>
                      <w:szCs w:val="21"/>
                    </w:rPr>
                  </w:pPr>
                </w:p>
              </w:tc>
              <w:tc>
                <w:tcPr>
                  <w:tcW w:w="602" w:type="pct"/>
                  <w:tcBorders>
                    <w:tl2br w:val="nil"/>
                    <w:tr2bl w:val="nil"/>
                  </w:tcBorders>
                  <w:noWrap w:val="0"/>
                  <w:vAlign w:val="center"/>
                </w:tcPr>
                <w:p w14:paraId="7815BFE6">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运营期</w:t>
                  </w:r>
                </w:p>
              </w:tc>
              <w:tc>
                <w:tcPr>
                  <w:tcW w:w="594" w:type="pct"/>
                  <w:tcBorders>
                    <w:tl2br w:val="nil"/>
                    <w:tr2bl w:val="nil"/>
                  </w:tcBorders>
                  <w:shd w:val="clear" w:color="auto" w:fill="auto"/>
                  <w:noWrap w:val="0"/>
                  <w:vAlign w:val="center"/>
                </w:tcPr>
                <w:p w14:paraId="3581FE4D">
                  <w:pPr>
                    <w:spacing w:line="300" w:lineRule="exact"/>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cs="Times New Roman"/>
                      <w:b w:val="0"/>
                      <w:bCs w:val="0"/>
                      <w:color w:val="auto"/>
                      <w:sz w:val="21"/>
                      <w:szCs w:val="21"/>
                    </w:rPr>
                    <w:t>生活污水</w:t>
                  </w:r>
                </w:p>
              </w:tc>
              <w:tc>
                <w:tcPr>
                  <w:tcW w:w="2194" w:type="pct"/>
                  <w:gridSpan w:val="2"/>
                  <w:tcBorders>
                    <w:tl2br w:val="nil"/>
                    <w:tr2bl w:val="nil"/>
                  </w:tcBorders>
                  <w:shd w:val="clear" w:color="auto" w:fill="auto"/>
                  <w:noWrap w:val="0"/>
                  <w:vAlign w:val="center"/>
                </w:tcPr>
                <w:p w14:paraId="0544D1A7">
                  <w:pPr>
                    <w:spacing w:line="300" w:lineRule="exact"/>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cs="Times New Roman"/>
                      <w:b w:val="0"/>
                      <w:bCs w:val="0"/>
                      <w:color w:val="auto"/>
                      <w:sz w:val="21"/>
                      <w:szCs w:val="21"/>
                      <w:lang w:val="en-US" w:eastAsia="zh-CN"/>
                    </w:rPr>
                    <w:t>依托煤矿现有污水处理设施进行处置。</w:t>
                  </w:r>
                </w:p>
              </w:tc>
              <w:tc>
                <w:tcPr>
                  <w:tcW w:w="829" w:type="pct"/>
                  <w:tcBorders>
                    <w:tl2br w:val="nil"/>
                    <w:tr2bl w:val="nil"/>
                  </w:tcBorders>
                  <w:noWrap w:val="0"/>
                  <w:vAlign w:val="center"/>
                </w:tcPr>
                <w:p w14:paraId="24D75A12">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运营期</w:t>
                  </w:r>
                </w:p>
              </w:tc>
              <w:tc>
                <w:tcPr>
                  <w:tcW w:w="447" w:type="pct"/>
                  <w:tcBorders>
                    <w:tl2br w:val="nil"/>
                    <w:tr2bl w:val="nil"/>
                  </w:tcBorders>
                  <w:noWrap w:val="0"/>
                  <w:vAlign w:val="center"/>
                </w:tcPr>
                <w:p w14:paraId="30746055">
                  <w:pPr>
                    <w:spacing w:line="300" w:lineRule="exact"/>
                    <w:jc w:val="center"/>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0</w:t>
                  </w:r>
                </w:p>
              </w:tc>
            </w:tr>
            <w:tr w14:paraId="250913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vMerge w:val="restart"/>
                  <w:tcBorders>
                    <w:tl2br w:val="nil"/>
                    <w:tr2bl w:val="nil"/>
                  </w:tcBorders>
                  <w:noWrap w:val="0"/>
                  <w:vAlign w:val="center"/>
                </w:tcPr>
                <w:p w14:paraId="51421A86">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固废</w:t>
                  </w:r>
                </w:p>
              </w:tc>
              <w:tc>
                <w:tcPr>
                  <w:tcW w:w="602" w:type="pct"/>
                  <w:vMerge w:val="restart"/>
                  <w:tcBorders>
                    <w:tl2br w:val="nil"/>
                    <w:tr2bl w:val="nil"/>
                  </w:tcBorders>
                  <w:noWrap w:val="0"/>
                  <w:vAlign w:val="center"/>
                </w:tcPr>
                <w:p w14:paraId="526DF876">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施工期</w:t>
                  </w:r>
                </w:p>
              </w:tc>
              <w:tc>
                <w:tcPr>
                  <w:tcW w:w="594" w:type="pct"/>
                  <w:tcBorders>
                    <w:tl2br w:val="nil"/>
                    <w:tr2bl w:val="nil"/>
                  </w:tcBorders>
                  <w:noWrap w:val="0"/>
                  <w:vAlign w:val="center"/>
                </w:tcPr>
                <w:p w14:paraId="222741EB">
                  <w:pPr>
                    <w:spacing w:line="300" w:lineRule="exact"/>
                    <w:jc w:val="center"/>
                    <w:rPr>
                      <w:rFonts w:hint="default" w:ascii="Times New Roman" w:hAnsi="Times New Roman" w:eastAsia="Times New Roman" w:cs="Times New Roman"/>
                      <w:b w:val="0"/>
                      <w:bCs w:val="0"/>
                      <w:color w:val="auto"/>
                      <w:sz w:val="21"/>
                      <w:szCs w:val="21"/>
                      <w:lang w:val="en-US" w:eastAsia="zh-CN"/>
                    </w:rPr>
                  </w:pPr>
                  <w:r>
                    <w:rPr>
                      <w:rFonts w:hint="eastAsia" w:eastAsia="Times New Roman" w:cs="Times New Roman"/>
                      <w:b w:val="0"/>
                      <w:bCs w:val="0"/>
                      <w:color w:val="auto"/>
                      <w:sz w:val="21"/>
                      <w:szCs w:val="21"/>
                      <w:lang w:val="en-US" w:eastAsia="zh-CN"/>
                    </w:rPr>
                    <w:t>井上施工</w:t>
                  </w:r>
                </w:p>
              </w:tc>
              <w:tc>
                <w:tcPr>
                  <w:tcW w:w="705" w:type="pct"/>
                  <w:tcBorders>
                    <w:tl2br w:val="nil"/>
                    <w:tr2bl w:val="nil"/>
                  </w:tcBorders>
                  <w:noWrap w:val="0"/>
                  <w:vAlign w:val="center"/>
                </w:tcPr>
                <w:p w14:paraId="0F604885">
                  <w:pPr>
                    <w:spacing w:line="300" w:lineRule="exact"/>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val="en-US" w:eastAsia="zh-CN"/>
                    </w:rPr>
                    <w:t>生活垃圾</w:t>
                  </w:r>
                </w:p>
              </w:tc>
              <w:tc>
                <w:tcPr>
                  <w:tcW w:w="1489" w:type="pct"/>
                  <w:tcBorders>
                    <w:tl2br w:val="nil"/>
                    <w:tr2bl w:val="nil"/>
                  </w:tcBorders>
                  <w:noWrap w:val="0"/>
                  <w:vAlign w:val="center"/>
                </w:tcPr>
                <w:p w14:paraId="0A8F845E">
                  <w:pPr>
                    <w:spacing w:line="300" w:lineRule="exact"/>
                    <w:jc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集中收集，</w:t>
                  </w:r>
                  <w:r>
                    <w:rPr>
                      <w:rFonts w:hint="eastAsia" w:cs="Times New Roman"/>
                      <w:color w:val="auto"/>
                      <w:kern w:val="2"/>
                      <w:sz w:val="21"/>
                      <w:szCs w:val="21"/>
                      <w:lang w:val="en-US" w:eastAsia="zh-CN"/>
                    </w:rPr>
                    <w:t>委托呼伦贝尔市石全经贸有限公司清运</w:t>
                  </w:r>
                  <w:r>
                    <w:rPr>
                      <w:rFonts w:hint="eastAsia" w:ascii="Times New Roman" w:hAnsi="Times New Roman" w:eastAsia="宋体" w:cs="Times New Roman"/>
                      <w:b w:val="0"/>
                      <w:bCs w:val="0"/>
                      <w:color w:val="auto"/>
                      <w:sz w:val="21"/>
                      <w:szCs w:val="21"/>
                      <w:lang w:val="en-US" w:eastAsia="zh-CN"/>
                    </w:rPr>
                    <w:t>。</w:t>
                  </w:r>
                </w:p>
              </w:tc>
              <w:tc>
                <w:tcPr>
                  <w:tcW w:w="829" w:type="pct"/>
                  <w:tcBorders>
                    <w:tl2br w:val="nil"/>
                    <w:tr2bl w:val="nil"/>
                  </w:tcBorders>
                  <w:noWrap w:val="0"/>
                  <w:vAlign w:val="center"/>
                </w:tcPr>
                <w:p w14:paraId="14C0430F">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钻井工程过程</w:t>
                  </w:r>
                </w:p>
              </w:tc>
              <w:tc>
                <w:tcPr>
                  <w:tcW w:w="447" w:type="pct"/>
                  <w:vMerge w:val="restart"/>
                  <w:tcBorders>
                    <w:tl2br w:val="nil"/>
                    <w:tr2bl w:val="nil"/>
                  </w:tcBorders>
                  <w:noWrap w:val="0"/>
                  <w:vAlign w:val="center"/>
                </w:tcPr>
                <w:p w14:paraId="1390B8F1">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150</w:t>
                  </w:r>
                </w:p>
              </w:tc>
            </w:tr>
            <w:tr w14:paraId="439B18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92" w:hRule="atLeast"/>
                <w:jc w:val="center"/>
              </w:trPr>
              <w:tc>
                <w:tcPr>
                  <w:tcW w:w="331" w:type="pct"/>
                  <w:vMerge w:val="continue"/>
                  <w:tcBorders>
                    <w:tl2br w:val="nil"/>
                    <w:tr2bl w:val="nil"/>
                  </w:tcBorders>
                  <w:noWrap w:val="0"/>
                  <w:vAlign w:val="center"/>
                </w:tcPr>
                <w:p w14:paraId="08A43D84">
                  <w:pPr>
                    <w:spacing w:line="300" w:lineRule="exact"/>
                    <w:jc w:val="center"/>
                    <w:rPr>
                      <w:rFonts w:hint="default" w:ascii="Times New Roman" w:hAnsi="Times New Roman" w:cs="Times New Roman"/>
                      <w:b w:val="0"/>
                      <w:bCs w:val="0"/>
                      <w:color w:val="auto"/>
                      <w:sz w:val="21"/>
                      <w:szCs w:val="21"/>
                    </w:rPr>
                  </w:pPr>
                </w:p>
              </w:tc>
              <w:tc>
                <w:tcPr>
                  <w:tcW w:w="602" w:type="pct"/>
                  <w:vMerge w:val="continue"/>
                  <w:tcBorders>
                    <w:tl2br w:val="nil"/>
                    <w:tr2bl w:val="nil"/>
                  </w:tcBorders>
                  <w:noWrap w:val="0"/>
                  <w:vAlign w:val="center"/>
                </w:tcPr>
                <w:p w14:paraId="228C0081">
                  <w:pPr>
                    <w:spacing w:line="300" w:lineRule="exact"/>
                    <w:jc w:val="center"/>
                    <w:rPr>
                      <w:rFonts w:hint="default" w:ascii="Times New Roman" w:hAnsi="Times New Roman" w:cs="Times New Roman"/>
                      <w:b w:val="0"/>
                      <w:bCs w:val="0"/>
                      <w:color w:val="auto"/>
                      <w:sz w:val="21"/>
                      <w:szCs w:val="21"/>
                    </w:rPr>
                  </w:pPr>
                </w:p>
              </w:tc>
              <w:tc>
                <w:tcPr>
                  <w:tcW w:w="594" w:type="pct"/>
                  <w:vMerge w:val="restart"/>
                  <w:tcBorders>
                    <w:tl2br w:val="nil"/>
                    <w:tr2bl w:val="nil"/>
                  </w:tcBorders>
                  <w:noWrap w:val="0"/>
                  <w:vAlign w:val="center"/>
                </w:tcPr>
                <w:p w14:paraId="50B5DF25">
                  <w:pPr>
                    <w:spacing w:line="300" w:lineRule="exact"/>
                    <w:jc w:val="center"/>
                    <w:rPr>
                      <w:rFonts w:hint="default" w:ascii="Times New Roman" w:hAnsi="Times New Roman" w:eastAsia="Times New Roman" w:cs="Times New Roman"/>
                      <w:b w:val="0"/>
                      <w:bCs w:val="0"/>
                      <w:color w:val="auto"/>
                      <w:sz w:val="21"/>
                      <w:szCs w:val="21"/>
                      <w:lang w:val="en-US" w:eastAsia="zh-CN"/>
                    </w:rPr>
                  </w:pPr>
                  <w:r>
                    <w:rPr>
                      <w:rFonts w:hint="eastAsia" w:eastAsia="Times New Roman" w:cs="Times New Roman"/>
                      <w:b w:val="0"/>
                      <w:bCs w:val="0"/>
                      <w:color w:val="auto"/>
                      <w:sz w:val="21"/>
                      <w:szCs w:val="21"/>
                      <w:lang w:val="en-US" w:eastAsia="zh-CN"/>
                    </w:rPr>
                    <w:t>井下施工</w:t>
                  </w:r>
                </w:p>
              </w:tc>
              <w:tc>
                <w:tcPr>
                  <w:tcW w:w="705" w:type="pct"/>
                  <w:tcBorders>
                    <w:tl2br w:val="nil"/>
                    <w:tr2bl w:val="nil"/>
                  </w:tcBorders>
                  <w:noWrap w:val="0"/>
                  <w:vAlign w:val="center"/>
                </w:tcPr>
                <w:p w14:paraId="47D9F084">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废土石</w:t>
                  </w:r>
                </w:p>
              </w:tc>
              <w:tc>
                <w:tcPr>
                  <w:tcW w:w="1489" w:type="pct"/>
                  <w:vMerge w:val="restart"/>
                  <w:tcBorders>
                    <w:tl2br w:val="nil"/>
                    <w:tr2bl w:val="nil"/>
                  </w:tcBorders>
                  <w:noWrap w:val="0"/>
                  <w:vAlign w:val="center"/>
                </w:tcPr>
                <w:p w14:paraId="1A2F6CF3">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泥浆通过污泥</w:t>
                  </w:r>
                  <w:r>
                    <w:rPr>
                      <w:rFonts w:hint="eastAsia" w:cs="Times New Roman"/>
                      <w:b w:val="0"/>
                      <w:bCs w:val="0"/>
                      <w:color w:val="auto"/>
                      <w:sz w:val="21"/>
                      <w:szCs w:val="21"/>
                      <w:lang w:val="en-US" w:eastAsia="zh-CN"/>
                    </w:rPr>
                    <w:t>脱泥机</w:t>
                  </w:r>
                  <w:r>
                    <w:rPr>
                      <w:rFonts w:hint="eastAsia" w:ascii="Times New Roman" w:hAnsi="Times New Roman" w:eastAsia="宋体" w:cs="Times New Roman"/>
                      <w:b w:val="0"/>
                      <w:bCs w:val="0"/>
                      <w:color w:val="auto"/>
                      <w:sz w:val="21"/>
                      <w:szCs w:val="21"/>
                      <w:lang w:val="en-US" w:eastAsia="zh-CN"/>
                    </w:rPr>
                    <w:t>压滤后，泥饼同岩屑、废土石一同委托伊敏盛达实业有限责任公司处置。</w:t>
                  </w:r>
                </w:p>
              </w:tc>
              <w:tc>
                <w:tcPr>
                  <w:tcW w:w="829" w:type="pct"/>
                  <w:vMerge w:val="restart"/>
                  <w:tcBorders>
                    <w:tl2br w:val="nil"/>
                    <w:tr2bl w:val="nil"/>
                  </w:tcBorders>
                  <w:noWrap w:val="0"/>
                  <w:vAlign w:val="center"/>
                </w:tcPr>
                <w:p w14:paraId="756813C1">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钻井工程过程</w:t>
                  </w:r>
                </w:p>
              </w:tc>
              <w:tc>
                <w:tcPr>
                  <w:tcW w:w="447" w:type="pct"/>
                  <w:vMerge w:val="continue"/>
                  <w:tcBorders>
                    <w:tl2br w:val="nil"/>
                    <w:tr2bl w:val="nil"/>
                  </w:tcBorders>
                  <w:noWrap w:val="0"/>
                  <w:vAlign w:val="center"/>
                </w:tcPr>
                <w:p w14:paraId="5CB78470">
                  <w:pPr>
                    <w:spacing w:line="300" w:lineRule="exact"/>
                    <w:jc w:val="center"/>
                    <w:rPr>
                      <w:rFonts w:hint="default" w:ascii="Times New Roman" w:hAnsi="Times New Roman" w:cs="Times New Roman"/>
                      <w:b w:val="0"/>
                      <w:bCs w:val="0"/>
                      <w:color w:val="auto"/>
                      <w:sz w:val="21"/>
                      <w:szCs w:val="21"/>
                    </w:rPr>
                  </w:pPr>
                </w:p>
              </w:tc>
            </w:tr>
            <w:tr w14:paraId="2FB930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1180" w:hRule="atLeast"/>
                <w:jc w:val="center"/>
              </w:trPr>
              <w:tc>
                <w:tcPr>
                  <w:tcW w:w="331" w:type="pct"/>
                  <w:vMerge w:val="continue"/>
                  <w:tcBorders>
                    <w:tl2br w:val="nil"/>
                    <w:tr2bl w:val="nil"/>
                  </w:tcBorders>
                  <w:noWrap w:val="0"/>
                  <w:vAlign w:val="center"/>
                </w:tcPr>
                <w:p w14:paraId="4FDC540B">
                  <w:pPr>
                    <w:spacing w:line="300" w:lineRule="exact"/>
                    <w:jc w:val="center"/>
                    <w:rPr>
                      <w:rFonts w:hint="default" w:ascii="Times New Roman" w:hAnsi="Times New Roman" w:cs="Times New Roman"/>
                      <w:b w:val="0"/>
                      <w:bCs w:val="0"/>
                      <w:color w:val="auto"/>
                      <w:sz w:val="21"/>
                      <w:szCs w:val="21"/>
                    </w:rPr>
                  </w:pPr>
                </w:p>
              </w:tc>
              <w:tc>
                <w:tcPr>
                  <w:tcW w:w="602" w:type="pct"/>
                  <w:vMerge w:val="continue"/>
                  <w:tcBorders>
                    <w:tl2br w:val="nil"/>
                    <w:tr2bl w:val="nil"/>
                  </w:tcBorders>
                  <w:noWrap w:val="0"/>
                  <w:vAlign w:val="center"/>
                </w:tcPr>
                <w:p w14:paraId="4DA48FDE">
                  <w:pPr>
                    <w:spacing w:line="300" w:lineRule="exact"/>
                    <w:jc w:val="center"/>
                    <w:rPr>
                      <w:rFonts w:hint="default" w:ascii="Times New Roman" w:hAnsi="Times New Roman" w:eastAsia="Times New Roman" w:cs="Times New Roman"/>
                      <w:b w:val="0"/>
                      <w:bCs w:val="0"/>
                      <w:color w:val="auto"/>
                      <w:sz w:val="21"/>
                      <w:szCs w:val="21"/>
                      <w:lang w:val="en-US" w:eastAsia="zh-CN"/>
                    </w:rPr>
                  </w:pPr>
                </w:p>
              </w:tc>
              <w:tc>
                <w:tcPr>
                  <w:tcW w:w="594" w:type="pct"/>
                  <w:vMerge w:val="continue"/>
                  <w:tcBorders>
                    <w:tl2br w:val="nil"/>
                    <w:tr2bl w:val="nil"/>
                  </w:tcBorders>
                  <w:noWrap w:val="0"/>
                  <w:vAlign w:val="center"/>
                </w:tcPr>
                <w:p w14:paraId="68CA017E">
                  <w:pPr>
                    <w:spacing w:line="300" w:lineRule="exact"/>
                    <w:jc w:val="center"/>
                    <w:rPr>
                      <w:rFonts w:hint="default" w:ascii="Times New Roman" w:hAnsi="Times New Roman" w:eastAsia="Times New Roman" w:cs="Times New Roman"/>
                      <w:b w:val="0"/>
                      <w:bCs w:val="0"/>
                      <w:color w:val="auto"/>
                      <w:sz w:val="21"/>
                      <w:szCs w:val="21"/>
                      <w:lang w:val="en-US" w:eastAsia="zh-CN"/>
                    </w:rPr>
                  </w:pPr>
                </w:p>
              </w:tc>
              <w:tc>
                <w:tcPr>
                  <w:tcW w:w="705" w:type="pct"/>
                  <w:tcBorders>
                    <w:tl2br w:val="nil"/>
                    <w:tr2bl w:val="nil"/>
                  </w:tcBorders>
                  <w:noWrap w:val="0"/>
                  <w:vAlign w:val="center"/>
                </w:tcPr>
                <w:p w14:paraId="302F2C3D">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岩屑及泥浆</w:t>
                  </w:r>
                </w:p>
              </w:tc>
              <w:tc>
                <w:tcPr>
                  <w:tcW w:w="1489" w:type="pct"/>
                  <w:vMerge w:val="continue"/>
                  <w:tcBorders>
                    <w:tl2br w:val="nil"/>
                    <w:tr2bl w:val="nil"/>
                  </w:tcBorders>
                  <w:noWrap w:val="0"/>
                  <w:vAlign w:val="center"/>
                </w:tcPr>
                <w:p w14:paraId="21CFB581">
                  <w:pPr>
                    <w:jc w:val="center"/>
                    <w:rPr>
                      <w:rFonts w:hint="default" w:ascii="Times New Roman" w:hAnsi="Times New Roman" w:eastAsia="宋体" w:cs="Times New Roman"/>
                      <w:b w:val="0"/>
                      <w:bCs w:val="0"/>
                      <w:color w:val="auto"/>
                      <w:sz w:val="21"/>
                      <w:szCs w:val="21"/>
                      <w:lang w:val="en-US" w:eastAsia="zh-CN"/>
                    </w:rPr>
                  </w:pPr>
                </w:p>
              </w:tc>
              <w:tc>
                <w:tcPr>
                  <w:tcW w:w="829" w:type="pct"/>
                  <w:vMerge w:val="continue"/>
                  <w:tcBorders>
                    <w:tl2br w:val="nil"/>
                    <w:tr2bl w:val="nil"/>
                  </w:tcBorders>
                  <w:noWrap w:val="0"/>
                  <w:vAlign w:val="center"/>
                </w:tcPr>
                <w:p w14:paraId="7659EF36">
                  <w:pPr>
                    <w:spacing w:line="300" w:lineRule="exact"/>
                    <w:jc w:val="center"/>
                    <w:rPr>
                      <w:rFonts w:hint="default" w:ascii="Times New Roman" w:hAnsi="Times New Roman" w:cs="Times New Roman"/>
                      <w:b w:val="0"/>
                      <w:bCs w:val="0"/>
                      <w:color w:val="auto"/>
                      <w:sz w:val="21"/>
                      <w:szCs w:val="21"/>
                    </w:rPr>
                  </w:pPr>
                </w:p>
              </w:tc>
              <w:tc>
                <w:tcPr>
                  <w:tcW w:w="447" w:type="pct"/>
                  <w:vMerge w:val="continue"/>
                  <w:tcBorders>
                    <w:tl2br w:val="nil"/>
                    <w:tr2bl w:val="nil"/>
                  </w:tcBorders>
                  <w:noWrap w:val="0"/>
                  <w:vAlign w:val="center"/>
                </w:tcPr>
                <w:p w14:paraId="4D3EF8AC">
                  <w:pPr>
                    <w:spacing w:line="300" w:lineRule="exact"/>
                    <w:jc w:val="center"/>
                    <w:rPr>
                      <w:rFonts w:hint="default" w:ascii="Times New Roman" w:hAnsi="Times New Roman" w:cs="Times New Roman"/>
                      <w:b w:val="0"/>
                      <w:bCs w:val="0"/>
                      <w:color w:val="auto"/>
                      <w:sz w:val="21"/>
                      <w:szCs w:val="21"/>
                    </w:rPr>
                  </w:pPr>
                </w:p>
              </w:tc>
            </w:tr>
            <w:tr w14:paraId="18073B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80" w:hRule="atLeast"/>
                <w:jc w:val="center"/>
              </w:trPr>
              <w:tc>
                <w:tcPr>
                  <w:tcW w:w="331" w:type="pct"/>
                  <w:vMerge w:val="continue"/>
                  <w:tcBorders>
                    <w:tl2br w:val="nil"/>
                    <w:tr2bl w:val="nil"/>
                  </w:tcBorders>
                  <w:noWrap w:val="0"/>
                  <w:vAlign w:val="center"/>
                </w:tcPr>
                <w:p w14:paraId="3430D349">
                  <w:pPr>
                    <w:spacing w:line="300" w:lineRule="exact"/>
                    <w:jc w:val="center"/>
                    <w:rPr>
                      <w:rFonts w:hint="default" w:ascii="Times New Roman" w:hAnsi="Times New Roman" w:cs="Times New Roman"/>
                      <w:b w:val="0"/>
                      <w:bCs w:val="0"/>
                      <w:color w:val="auto"/>
                      <w:sz w:val="21"/>
                      <w:szCs w:val="21"/>
                    </w:rPr>
                  </w:pPr>
                </w:p>
              </w:tc>
              <w:tc>
                <w:tcPr>
                  <w:tcW w:w="602" w:type="pct"/>
                  <w:tcBorders>
                    <w:tl2br w:val="nil"/>
                    <w:tr2bl w:val="nil"/>
                  </w:tcBorders>
                  <w:noWrap w:val="0"/>
                  <w:vAlign w:val="center"/>
                </w:tcPr>
                <w:p w14:paraId="0FCA6FFE">
                  <w:pPr>
                    <w:spacing w:line="300" w:lineRule="exact"/>
                    <w:jc w:val="center"/>
                    <w:rPr>
                      <w:rFonts w:hint="default" w:ascii="Times New Roman" w:hAnsi="Times New Roman" w:eastAsia="Times New Roman" w:cs="Times New Roman"/>
                      <w:b w:val="0"/>
                      <w:bCs w:val="0"/>
                      <w:color w:val="auto"/>
                      <w:sz w:val="21"/>
                      <w:szCs w:val="21"/>
                      <w:lang w:val="en-US" w:eastAsia="zh-CN"/>
                    </w:rPr>
                  </w:pPr>
                  <w:r>
                    <w:rPr>
                      <w:rFonts w:hint="default" w:ascii="Times New Roman" w:hAnsi="Times New Roman" w:eastAsia="Times New Roman" w:cs="Times New Roman"/>
                      <w:b w:val="0"/>
                      <w:bCs w:val="0"/>
                      <w:color w:val="auto"/>
                      <w:sz w:val="21"/>
                      <w:szCs w:val="21"/>
                      <w:lang w:val="en-US" w:eastAsia="zh-CN"/>
                    </w:rPr>
                    <w:t>运营期</w:t>
                  </w:r>
                </w:p>
              </w:tc>
              <w:tc>
                <w:tcPr>
                  <w:tcW w:w="594" w:type="pct"/>
                  <w:tcBorders>
                    <w:tl2br w:val="nil"/>
                    <w:tr2bl w:val="nil"/>
                  </w:tcBorders>
                  <w:noWrap w:val="0"/>
                  <w:vAlign w:val="center"/>
                </w:tcPr>
                <w:p w14:paraId="34774F9C">
                  <w:pPr>
                    <w:spacing w:line="300" w:lineRule="exact"/>
                    <w:jc w:val="center"/>
                    <w:rPr>
                      <w:rFonts w:hint="default" w:ascii="Times New Roman" w:hAnsi="Times New Roman" w:eastAsia="Times New Roman" w:cs="Times New Roman"/>
                      <w:b w:val="0"/>
                      <w:bCs w:val="0"/>
                      <w:color w:val="auto"/>
                      <w:sz w:val="21"/>
                      <w:szCs w:val="21"/>
                      <w:lang w:val="en-US" w:eastAsia="zh-CN"/>
                    </w:rPr>
                  </w:pPr>
                  <w:r>
                    <w:rPr>
                      <w:rFonts w:hint="default" w:ascii="Times New Roman" w:hAnsi="Times New Roman" w:eastAsia="Times New Roman" w:cs="Times New Roman"/>
                      <w:b w:val="0"/>
                      <w:bCs w:val="0"/>
                      <w:color w:val="auto"/>
                      <w:sz w:val="21"/>
                      <w:szCs w:val="21"/>
                      <w:lang w:val="en-US" w:eastAsia="zh-CN"/>
                    </w:rPr>
                    <w:t>/</w:t>
                  </w:r>
                </w:p>
              </w:tc>
              <w:tc>
                <w:tcPr>
                  <w:tcW w:w="705" w:type="pct"/>
                  <w:tcBorders>
                    <w:tl2br w:val="nil"/>
                    <w:tr2bl w:val="nil"/>
                  </w:tcBorders>
                  <w:shd w:val="clear" w:color="auto" w:fill="auto"/>
                  <w:noWrap w:val="0"/>
                  <w:vAlign w:val="center"/>
                </w:tcPr>
                <w:p w14:paraId="16DAB37E">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生活垃圾</w:t>
                  </w:r>
                </w:p>
              </w:tc>
              <w:tc>
                <w:tcPr>
                  <w:tcW w:w="1489" w:type="pct"/>
                  <w:tcBorders>
                    <w:tl2br w:val="nil"/>
                    <w:tr2bl w:val="nil"/>
                  </w:tcBorders>
                  <w:shd w:val="clear" w:color="auto" w:fill="auto"/>
                  <w:noWrap w:val="0"/>
                  <w:vAlign w:val="center"/>
                </w:tcPr>
                <w:p w14:paraId="55B448DF">
                  <w:pPr>
                    <w:jc w:val="center"/>
                    <w:rPr>
                      <w:rFonts w:hint="default" w:ascii="Times New Roman" w:hAnsi="Times New Roman" w:eastAsia="宋体" w:cs="Times New Roman"/>
                      <w:b w:val="0"/>
                      <w:bCs w:val="0"/>
                      <w:color w:val="auto"/>
                      <w:kern w:val="2"/>
                      <w:sz w:val="21"/>
                      <w:szCs w:val="21"/>
                      <w:lang w:val="en-US" w:eastAsia="zh-CN" w:bidi="ar-SA"/>
                    </w:rPr>
                  </w:pPr>
                  <w:r>
                    <w:rPr>
                      <w:rFonts w:hint="eastAsia" w:eastAsia="宋体" w:cs="Times New Roman"/>
                      <w:color w:val="auto"/>
                      <w:kern w:val="2"/>
                      <w:sz w:val="21"/>
                      <w:szCs w:val="21"/>
                      <w:lang w:val="en-US" w:eastAsia="zh-CN"/>
                    </w:rPr>
                    <w:t>运营期产生的生活垃圾</w:t>
                  </w:r>
                  <w:r>
                    <w:rPr>
                      <w:rFonts w:hint="eastAsia" w:cs="Times New Roman"/>
                      <w:color w:val="auto"/>
                      <w:kern w:val="2"/>
                      <w:sz w:val="21"/>
                      <w:szCs w:val="21"/>
                      <w:lang w:val="en-US" w:eastAsia="zh-CN"/>
                    </w:rPr>
                    <w:t>委托呼伦贝尔市石全经贸有限公司清运</w:t>
                  </w:r>
                  <w:r>
                    <w:rPr>
                      <w:rFonts w:hint="eastAsia" w:eastAsia="宋体" w:cs="Times New Roman"/>
                      <w:color w:val="auto"/>
                      <w:kern w:val="2"/>
                      <w:sz w:val="21"/>
                      <w:szCs w:val="21"/>
                      <w:lang w:val="en-US" w:eastAsia="zh-CN"/>
                    </w:rPr>
                    <w:t>。</w:t>
                  </w:r>
                </w:p>
              </w:tc>
              <w:tc>
                <w:tcPr>
                  <w:tcW w:w="829" w:type="pct"/>
                  <w:tcBorders>
                    <w:tl2br w:val="nil"/>
                    <w:tr2bl w:val="nil"/>
                  </w:tcBorders>
                  <w:noWrap w:val="0"/>
                  <w:vAlign w:val="center"/>
                </w:tcPr>
                <w:p w14:paraId="61502FAD">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运营期</w:t>
                  </w:r>
                </w:p>
              </w:tc>
              <w:tc>
                <w:tcPr>
                  <w:tcW w:w="447" w:type="pct"/>
                  <w:tcBorders>
                    <w:tl2br w:val="nil"/>
                    <w:tr2bl w:val="nil"/>
                  </w:tcBorders>
                  <w:noWrap w:val="0"/>
                  <w:vAlign w:val="center"/>
                </w:tcPr>
                <w:p w14:paraId="21006EBE">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80</w:t>
                  </w:r>
                </w:p>
              </w:tc>
            </w:tr>
            <w:tr w14:paraId="28815B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tcBorders>
                    <w:tl2br w:val="nil"/>
                    <w:tr2bl w:val="nil"/>
                  </w:tcBorders>
                  <w:noWrap w:val="0"/>
                  <w:vAlign w:val="center"/>
                </w:tcPr>
                <w:p w14:paraId="02B2D7EE">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噪声</w:t>
                  </w:r>
                </w:p>
              </w:tc>
              <w:tc>
                <w:tcPr>
                  <w:tcW w:w="1197" w:type="pct"/>
                  <w:gridSpan w:val="2"/>
                  <w:tcBorders>
                    <w:tl2br w:val="nil"/>
                    <w:tr2bl w:val="nil"/>
                  </w:tcBorders>
                  <w:noWrap w:val="0"/>
                  <w:vAlign w:val="center"/>
                </w:tcPr>
                <w:p w14:paraId="10B35E7A">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设备噪声</w:t>
                  </w:r>
                </w:p>
              </w:tc>
              <w:tc>
                <w:tcPr>
                  <w:tcW w:w="2194" w:type="pct"/>
                  <w:gridSpan w:val="2"/>
                  <w:tcBorders>
                    <w:tl2br w:val="nil"/>
                    <w:tr2bl w:val="nil"/>
                  </w:tcBorders>
                  <w:noWrap w:val="0"/>
                  <w:vAlign w:val="center"/>
                </w:tcPr>
                <w:p w14:paraId="29C0E316">
                  <w:pPr>
                    <w:spacing w:line="300" w:lineRule="exact"/>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选用低噪声设备，隔声、减振。</w:t>
                  </w:r>
                </w:p>
              </w:tc>
              <w:tc>
                <w:tcPr>
                  <w:tcW w:w="829" w:type="pct"/>
                  <w:tcBorders>
                    <w:tl2br w:val="nil"/>
                    <w:tr2bl w:val="nil"/>
                  </w:tcBorders>
                  <w:noWrap w:val="0"/>
                  <w:vAlign w:val="center"/>
                </w:tcPr>
                <w:p w14:paraId="58A25AAE">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钻井工程过程</w:t>
                  </w:r>
                </w:p>
              </w:tc>
              <w:tc>
                <w:tcPr>
                  <w:tcW w:w="447" w:type="pct"/>
                  <w:tcBorders>
                    <w:tl2br w:val="nil"/>
                    <w:tr2bl w:val="nil"/>
                  </w:tcBorders>
                  <w:noWrap w:val="0"/>
                  <w:vAlign w:val="center"/>
                </w:tcPr>
                <w:p w14:paraId="1D120172">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15</w:t>
                  </w:r>
                </w:p>
              </w:tc>
            </w:tr>
            <w:tr w14:paraId="2848E9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tcBorders>
                    <w:tl2br w:val="nil"/>
                    <w:tr2bl w:val="nil"/>
                  </w:tcBorders>
                  <w:noWrap w:val="0"/>
                  <w:vAlign w:val="center"/>
                </w:tcPr>
                <w:p w14:paraId="35EA0723">
                  <w:pPr>
                    <w:spacing w:line="30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生态修复</w:t>
                  </w:r>
                </w:p>
              </w:tc>
              <w:tc>
                <w:tcPr>
                  <w:tcW w:w="3391" w:type="pct"/>
                  <w:gridSpan w:val="4"/>
                  <w:tcBorders>
                    <w:tl2br w:val="nil"/>
                    <w:tr2bl w:val="nil"/>
                  </w:tcBorders>
                  <w:noWrap w:val="0"/>
                  <w:vAlign w:val="center"/>
                </w:tcPr>
                <w:p w14:paraId="5583AD79">
                  <w:pPr>
                    <w:spacing w:line="30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项目</w:t>
                  </w:r>
                  <w:r>
                    <w:rPr>
                      <w:rFonts w:hint="default" w:ascii="Times New Roman" w:hAnsi="Times New Roman" w:eastAsia="宋体" w:cs="Times New Roman"/>
                      <w:b w:val="0"/>
                      <w:bCs w:val="0"/>
                      <w:color w:val="auto"/>
                      <w:sz w:val="21"/>
                      <w:szCs w:val="21"/>
                      <w:lang w:eastAsia="zh-CN"/>
                    </w:rPr>
                    <w:t>施工结束后，</w:t>
                  </w:r>
                  <w:r>
                    <w:rPr>
                      <w:rFonts w:hint="default" w:ascii="Times New Roman" w:hAnsi="Times New Roman" w:cs="Times New Roman"/>
                      <w:b w:val="0"/>
                      <w:bCs w:val="0"/>
                      <w:color w:val="auto"/>
                      <w:sz w:val="21"/>
                      <w:szCs w:val="21"/>
                      <w:lang w:val="en-US" w:eastAsia="zh-CN"/>
                    </w:rPr>
                    <w:t>施工占地区域</w:t>
                  </w:r>
                  <w:r>
                    <w:rPr>
                      <w:rFonts w:hint="default" w:ascii="Times New Roman" w:hAnsi="Times New Roman" w:eastAsia="宋体" w:cs="Times New Roman"/>
                      <w:b w:val="0"/>
                      <w:bCs w:val="0"/>
                      <w:color w:val="auto"/>
                      <w:sz w:val="21"/>
                      <w:szCs w:val="21"/>
                    </w:rPr>
                    <w:t>将恢复原有植被，人工建筑物拆除，复垦选择草种为沙打旺和紫花苜蓿，每公顷播种量30kg。</w:t>
                  </w:r>
                  <w:r>
                    <w:rPr>
                      <w:rFonts w:hint="default" w:ascii="Times New Roman" w:hAnsi="Times New Roman" w:eastAsia="宋体" w:cs="Times New Roman"/>
                      <w:b w:val="0"/>
                      <w:bCs w:val="0"/>
                      <w:color w:val="auto"/>
                      <w:sz w:val="21"/>
                      <w:szCs w:val="21"/>
                      <w:lang w:eastAsia="zh-CN"/>
                    </w:rPr>
                    <w:t>使</w:t>
                  </w:r>
                  <w:r>
                    <w:rPr>
                      <w:rFonts w:hint="default" w:ascii="Times New Roman" w:hAnsi="Times New Roman" w:eastAsia="宋体" w:cs="Times New Roman"/>
                      <w:b w:val="0"/>
                      <w:bCs w:val="0"/>
                      <w:color w:val="auto"/>
                      <w:sz w:val="21"/>
                      <w:szCs w:val="21"/>
                    </w:rPr>
                    <w:t>生态环境质量将逐步恢复至原有水平。</w:t>
                  </w:r>
                </w:p>
              </w:tc>
              <w:tc>
                <w:tcPr>
                  <w:tcW w:w="829" w:type="pct"/>
                  <w:tcBorders>
                    <w:tl2br w:val="nil"/>
                    <w:tr2bl w:val="nil"/>
                  </w:tcBorders>
                  <w:noWrap w:val="0"/>
                  <w:vAlign w:val="center"/>
                </w:tcPr>
                <w:p w14:paraId="3613B708">
                  <w:pPr>
                    <w:spacing w:line="30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钻井结束后</w:t>
                  </w:r>
                </w:p>
              </w:tc>
              <w:tc>
                <w:tcPr>
                  <w:tcW w:w="447" w:type="pct"/>
                  <w:tcBorders>
                    <w:tl2br w:val="nil"/>
                    <w:tr2bl w:val="nil"/>
                  </w:tcBorders>
                  <w:noWrap w:val="0"/>
                  <w:vAlign w:val="center"/>
                </w:tcPr>
                <w:p w14:paraId="498E1B97">
                  <w:pPr>
                    <w:spacing w:line="300" w:lineRule="exact"/>
                    <w:jc w:val="center"/>
                    <w:rPr>
                      <w:rFonts w:hint="default" w:ascii="Times New Roman" w:hAnsi="Times New Roman" w:eastAsia="宋体" w:cs="Times New Roman"/>
                      <w:b w:val="0"/>
                      <w:bCs w:val="0"/>
                      <w:color w:val="auto"/>
                      <w:sz w:val="21"/>
                      <w:szCs w:val="21"/>
                      <w:lang w:val="en-US"/>
                    </w:rPr>
                  </w:pPr>
                  <w:r>
                    <w:rPr>
                      <w:rFonts w:hint="eastAsia" w:cs="Times New Roman"/>
                      <w:b w:val="0"/>
                      <w:bCs w:val="0"/>
                      <w:color w:val="auto"/>
                      <w:sz w:val="21"/>
                      <w:szCs w:val="21"/>
                      <w:lang w:val="en-US" w:eastAsia="zh-CN"/>
                    </w:rPr>
                    <w:t>300</w:t>
                  </w:r>
                </w:p>
              </w:tc>
            </w:tr>
            <w:tr w14:paraId="302BD9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tcBorders>
                    <w:tl2br w:val="nil"/>
                    <w:tr2bl w:val="nil"/>
                  </w:tcBorders>
                  <w:noWrap w:val="0"/>
                  <w:vAlign w:val="center"/>
                </w:tcPr>
                <w:p w14:paraId="2FB91513">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环境管理</w:t>
                  </w:r>
                </w:p>
              </w:tc>
              <w:tc>
                <w:tcPr>
                  <w:tcW w:w="3391" w:type="pct"/>
                  <w:gridSpan w:val="4"/>
                  <w:tcBorders>
                    <w:tl2br w:val="nil"/>
                    <w:tr2bl w:val="nil"/>
                  </w:tcBorders>
                  <w:noWrap w:val="0"/>
                  <w:vAlign w:val="center"/>
                </w:tcPr>
                <w:p w14:paraId="3883A939">
                  <w:pPr>
                    <w:spacing w:line="300" w:lineRule="exact"/>
                    <w:jc w:val="center"/>
                    <w:rPr>
                      <w:rFonts w:hint="default" w:ascii="Times New Roman" w:hAnsi="Times New Roman" w:cs="Times New Roman"/>
                      <w:b w:val="0"/>
                      <w:bCs w:val="0"/>
                      <w:color w:val="auto"/>
                      <w:sz w:val="21"/>
                      <w:szCs w:val="21"/>
                      <w:lang w:bidi="ar"/>
                    </w:rPr>
                  </w:pPr>
                  <w:r>
                    <w:rPr>
                      <w:rFonts w:hint="default" w:ascii="Times New Roman" w:hAnsi="Times New Roman" w:cs="Times New Roman"/>
                      <w:b w:val="0"/>
                      <w:bCs w:val="0"/>
                      <w:color w:val="auto"/>
                      <w:sz w:val="21"/>
                      <w:szCs w:val="21"/>
                      <w:lang w:bidi="ar"/>
                    </w:rPr>
                    <w:t>施工前根据环境管理要求，办理环评及相关环境管理手续</w:t>
                  </w:r>
                </w:p>
              </w:tc>
              <w:tc>
                <w:tcPr>
                  <w:tcW w:w="829" w:type="pct"/>
                  <w:tcBorders>
                    <w:tl2br w:val="nil"/>
                    <w:tr2bl w:val="nil"/>
                  </w:tcBorders>
                  <w:noWrap w:val="0"/>
                  <w:vAlign w:val="center"/>
                </w:tcPr>
                <w:p w14:paraId="3DAC9BCB">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钻井施工前</w:t>
                  </w:r>
                </w:p>
              </w:tc>
              <w:tc>
                <w:tcPr>
                  <w:tcW w:w="447" w:type="pct"/>
                  <w:tcBorders>
                    <w:tl2br w:val="nil"/>
                    <w:tr2bl w:val="nil"/>
                  </w:tcBorders>
                  <w:noWrap w:val="0"/>
                  <w:vAlign w:val="center"/>
                </w:tcPr>
                <w:p w14:paraId="06DCA709">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120</w:t>
                  </w:r>
                </w:p>
              </w:tc>
            </w:tr>
            <w:tr w14:paraId="3E6D66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331" w:type="pct"/>
                  <w:tcBorders>
                    <w:tl2br w:val="nil"/>
                    <w:tr2bl w:val="nil"/>
                  </w:tcBorders>
                  <w:noWrap w:val="0"/>
                  <w:vAlign w:val="center"/>
                </w:tcPr>
                <w:p w14:paraId="68E35357">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监测</w:t>
                  </w:r>
                </w:p>
              </w:tc>
              <w:tc>
                <w:tcPr>
                  <w:tcW w:w="3391" w:type="pct"/>
                  <w:gridSpan w:val="4"/>
                  <w:tcBorders>
                    <w:tl2br w:val="nil"/>
                    <w:tr2bl w:val="nil"/>
                  </w:tcBorders>
                  <w:noWrap w:val="0"/>
                  <w:vAlign w:val="center"/>
                </w:tcPr>
                <w:p w14:paraId="21E8E343">
                  <w:pPr>
                    <w:spacing w:line="300" w:lineRule="exact"/>
                    <w:jc w:val="center"/>
                    <w:rPr>
                      <w:rFonts w:hint="default" w:ascii="Times New Roman" w:hAnsi="Times New Roman" w:cs="Times New Roman"/>
                      <w:b w:val="0"/>
                      <w:bCs w:val="0"/>
                      <w:color w:val="auto"/>
                      <w:sz w:val="21"/>
                      <w:szCs w:val="21"/>
                      <w:lang w:bidi="ar"/>
                    </w:rPr>
                  </w:pPr>
                  <w:r>
                    <w:rPr>
                      <w:rFonts w:hint="default" w:ascii="Times New Roman" w:hAnsi="Times New Roman" w:cs="Times New Roman"/>
                      <w:b w:val="0"/>
                      <w:bCs w:val="0"/>
                      <w:color w:val="auto"/>
                      <w:sz w:val="21"/>
                      <w:szCs w:val="21"/>
                      <w:lang w:bidi="ar"/>
                    </w:rPr>
                    <w:t>环境质量现状监测</w:t>
                  </w:r>
                </w:p>
              </w:tc>
              <w:tc>
                <w:tcPr>
                  <w:tcW w:w="829" w:type="pct"/>
                  <w:tcBorders>
                    <w:tl2br w:val="nil"/>
                    <w:tr2bl w:val="nil"/>
                  </w:tcBorders>
                  <w:noWrap w:val="0"/>
                  <w:vAlign w:val="center"/>
                </w:tcPr>
                <w:p w14:paraId="7F8308B6">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钻井施工前</w:t>
                  </w:r>
                </w:p>
              </w:tc>
              <w:tc>
                <w:tcPr>
                  <w:tcW w:w="447" w:type="pct"/>
                  <w:tcBorders>
                    <w:tl2br w:val="nil"/>
                    <w:tr2bl w:val="nil"/>
                  </w:tcBorders>
                  <w:noWrap w:val="0"/>
                  <w:vAlign w:val="center"/>
                </w:tcPr>
                <w:p w14:paraId="1417DF09">
                  <w:pPr>
                    <w:spacing w:line="300" w:lineRule="exact"/>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80</w:t>
                  </w:r>
                </w:p>
              </w:tc>
            </w:tr>
            <w:tr w14:paraId="1D46E3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4552" w:type="pct"/>
                  <w:gridSpan w:val="6"/>
                  <w:tcBorders>
                    <w:tl2br w:val="nil"/>
                    <w:tr2bl w:val="nil"/>
                  </w:tcBorders>
                  <w:noWrap w:val="0"/>
                  <w:vAlign w:val="center"/>
                </w:tcPr>
                <w:p w14:paraId="7FDF6525">
                  <w:pPr>
                    <w:spacing w:line="300" w:lineRule="exact"/>
                    <w:jc w:val="center"/>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总计</w:t>
                  </w:r>
                </w:p>
              </w:tc>
              <w:tc>
                <w:tcPr>
                  <w:tcW w:w="447" w:type="pct"/>
                  <w:tcBorders>
                    <w:tl2br w:val="nil"/>
                    <w:tr2bl w:val="nil"/>
                  </w:tcBorders>
                  <w:noWrap w:val="0"/>
                  <w:vAlign w:val="center"/>
                </w:tcPr>
                <w:p w14:paraId="0E5083FA">
                  <w:pPr>
                    <w:widowControl/>
                    <w:jc w:val="center"/>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1350</w:t>
                  </w:r>
                </w:p>
              </w:tc>
            </w:tr>
          </w:tbl>
          <w:p w14:paraId="1DC4ACCE">
            <w:pPr>
              <w:pStyle w:val="31"/>
              <w:spacing w:line="360" w:lineRule="auto"/>
              <w:ind w:firstLine="0"/>
              <w:rPr>
                <w:rFonts w:ascii="Times New Roman" w:hAnsi="Times New Roman" w:eastAsia="Times New Roman"/>
                <w:color w:val="auto"/>
                <w:spacing w:val="10"/>
                <w:sz w:val="21"/>
                <w:szCs w:val="21"/>
              </w:rPr>
            </w:pPr>
          </w:p>
        </w:tc>
      </w:tr>
    </w:tbl>
    <w:p w14:paraId="3C1465F4">
      <w:pPr>
        <w:pStyle w:val="2"/>
        <w:spacing w:line="360" w:lineRule="auto"/>
        <w:jc w:val="center"/>
        <w:rPr>
          <w:rFonts w:eastAsia="Times New Roman"/>
          <w:color w:val="auto"/>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4FC5C098">
      <w:pPr>
        <w:pStyle w:val="2"/>
        <w:spacing w:line="360" w:lineRule="auto"/>
        <w:jc w:val="center"/>
        <w:rPr>
          <w:rFonts w:eastAsia="Times New Roman"/>
          <w:color w:val="auto"/>
          <w:sz w:val="32"/>
          <w:szCs w:val="32"/>
        </w:rPr>
      </w:pPr>
      <w:r>
        <w:rPr>
          <w:rFonts w:eastAsia="Times New Roman"/>
          <w:color w:val="auto"/>
          <w:sz w:val="32"/>
          <w:szCs w:val="32"/>
        </w:rPr>
        <w:t>六、生态环境保护措施监督检查清单</w:t>
      </w:r>
    </w:p>
    <w:tbl>
      <w:tblPr>
        <w:tblStyle w:val="19"/>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6108"/>
        <w:gridCol w:w="3903"/>
        <w:gridCol w:w="1423"/>
        <w:gridCol w:w="1516"/>
      </w:tblGrid>
      <w:tr w14:paraId="4C9ACA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vMerge w:val="restart"/>
            <w:tcBorders>
              <w:tl2br w:val="single" w:color="auto" w:sz="4" w:space="0"/>
            </w:tcBorders>
            <w:noWrap w:val="0"/>
            <w:vAlign w:val="top"/>
          </w:tcPr>
          <w:p w14:paraId="2655AB51">
            <w:pPr>
              <w:pStyle w:val="15"/>
              <w:adjustRightInd w:val="0"/>
              <w:snapToGrid w:val="0"/>
              <w:spacing w:before="0" w:beforeAutospacing="0" w:after="0" w:afterAutospacing="0" w:line="240" w:lineRule="atLeast"/>
              <w:jc w:val="right"/>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 xml:space="preserve">    内容</w:t>
            </w:r>
          </w:p>
          <w:p w14:paraId="090EA8D0">
            <w:pPr>
              <w:pStyle w:val="15"/>
              <w:adjustRightInd w:val="0"/>
              <w:snapToGrid w:val="0"/>
              <w:spacing w:before="0" w:beforeAutospacing="0" w:after="0" w:afterAutospacing="0" w:line="240" w:lineRule="atLeast"/>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 xml:space="preserve"> </w:t>
            </w:r>
          </w:p>
          <w:p w14:paraId="4C3DA139">
            <w:pPr>
              <w:pStyle w:val="15"/>
              <w:adjustRightInd w:val="0"/>
              <w:snapToGrid w:val="0"/>
              <w:spacing w:before="0" w:beforeAutospacing="0" w:after="0" w:afterAutospacing="0" w:line="240" w:lineRule="atLeast"/>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 xml:space="preserve"> </w:t>
            </w:r>
          </w:p>
          <w:p w14:paraId="792FDD3F">
            <w:pPr>
              <w:pStyle w:val="15"/>
              <w:adjustRightInd w:val="0"/>
              <w:snapToGrid w:val="0"/>
              <w:spacing w:before="0" w:beforeAutospacing="0" w:after="0" w:afterAutospacing="0" w:line="240" w:lineRule="atLeast"/>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要素</w:t>
            </w:r>
          </w:p>
        </w:tc>
        <w:tc>
          <w:tcPr>
            <w:tcW w:w="3532" w:type="pct"/>
            <w:gridSpan w:val="2"/>
            <w:noWrap w:val="0"/>
            <w:vAlign w:val="center"/>
          </w:tcPr>
          <w:p w14:paraId="76A9C6F0">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施工期</w:t>
            </w:r>
          </w:p>
        </w:tc>
        <w:tc>
          <w:tcPr>
            <w:tcW w:w="1037" w:type="pct"/>
            <w:gridSpan w:val="2"/>
            <w:noWrap w:val="0"/>
            <w:vAlign w:val="center"/>
          </w:tcPr>
          <w:p w14:paraId="3646DD19">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运营期</w:t>
            </w:r>
          </w:p>
        </w:tc>
      </w:tr>
      <w:tr w14:paraId="4EBF6C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vMerge w:val="continue"/>
            <w:noWrap w:val="0"/>
            <w:vAlign w:val="top"/>
          </w:tcPr>
          <w:p w14:paraId="691B4B00">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p>
        </w:tc>
        <w:tc>
          <w:tcPr>
            <w:tcW w:w="2155" w:type="pct"/>
            <w:noWrap w:val="0"/>
            <w:vAlign w:val="center"/>
          </w:tcPr>
          <w:p w14:paraId="16E9DBB9">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环境保护措施</w:t>
            </w:r>
          </w:p>
        </w:tc>
        <w:tc>
          <w:tcPr>
            <w:tcW w:w="1377" w:type="pct"/>
            <w:noWrap w:val="0"/>
            <w:vAlign w:val="center"/>
          </w:tcPr>
          <w:p w14:paraId="64FF73A5">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验收要求</w:t>
            </w:r>
          </w:p>
        </w:tc>
        <w:tc>
          <w:tcPr>
            <w:tcW w:w="502" w:type="pct"/>
            <w:noWrap w:val="0"/>
            <w:vAlign w:val="center"/>
          </w:tcPr>
          <w:p w14:paraId="36E3D7C4">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环境保护措施</w:t>
            </w:r>
          </w:p>
        </w:tc>
        <w:tc>
          <w:tcPr>
            <w:tcW w:w="534" w:type="pct"/>
            <w:noWrap w:val="0"/>
            <w:vAlign w:val="center"/>
          </w:tcPr>
          <w:p w14:paraId="385033A1">
            <w:pPr>
              <w:pStyle w:val="15"/>
              <w:adjustRightInd w:val="0"/>
              <w:snapToGrid w:val="0"/>
              <w:spacing w:before="0" w:beforeAutospacing="0" w:after="0" w:afterAutospacing="0" w:line="240" w:lineRule="atLeast"/>
              <w:jc w:val="center"/>
              <w:outlineLvl w:val="0"/>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验收要求</w:t>
            </w:r>
          </w:p>
        </w:tc>
      </w:tr>
      <w:tr w14:paraId="092C2F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192A2EED">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陆生生态</w:t>
            </w:r>
          </w:p>
        </w:tc>
        <w:tc>
          <w:tcPr>
            <w:tcW w:w="2155" w:type="pct"/>
            <w:noWrap w:val="0"/>
            <w:vAlign w:val="center"/>
          </w:tcPr>
          <w:p w14:paraId="3C6523E8">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1.1施工保护措施</w:t>
            </w:r>
          </w:p>
          <w:p w14:paraId="26FD4052">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施工前做好土石方平衡，严格控制施工线路，施工范围，避免对施工区外的生态环境造成破坏，减少土石方的开挖。</w:t>
            </w:r>
          </w:p>
          <w:p w14:paraId="6DDCA170">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①项目基坑开挖尽量避免在雨季进行施工，开挖土石方应尽快回填。</w:t>
            </w:r>
          </w:p>
          <w:p w14:paraId="4C0A5A29">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②在施工场地建排水沟，防止雨水冲刷场地，并在排水沟出口处设沉淀池，使雨水经沉淀池澄清后回用，尽量减少施工期水土流失。</w:t>
            </w:r>
          </w:p>
          <w:p w14:paraId="2EB14B08">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③严格按照设计要求中指定地点堆放临时工程表土，</w:t>
            </w:r>
            <w:r>
              <w:rPr>
                <w:rFonts w:hint="eastAsia" w:ascii="Times New Roman" w:hAnsi="Times New Roman" w:eastAsia="宋体" w:cs="Times New Roman"/>
                <w:color w:val="auto"/>
                <w:sz w:val="21"/>
                <w:szCs w:val="21"/>
              </w:rPr>
              <w:t>剥离表土</w:t>
            </w:r>
            <w:r>
              <w:rPr>
                <w:rFonts w:hint="eastAsia" w:ascii="Times New Roman" w:hAnsi="Times New Roman" w:eastAsia="宋体" w:cs="Times New Roman"/>
                <w:color w:val="auto"/>
                <w:sz w:val="21"/>
                <w:szCs w:val="21"/>
                <w:lang w:eastAsia="zh-CN"/>
              </w:rPr>
              <w:t>集中暂存施工场地周围</w:t>
            </w:r>
            <w:r>
              <w:rPr>
                <w:rFonts w:hint="default" w:ascii="Times New Roman" w:hAnsi="Times New Roman" w:eastAsia="宋体" w:cs="Times New Roman"/>
                <w:color w:val="auto"/>
                <w:sz w:val="21"/>
                <w:szCs w:val="21"/>
              </w:rPr>
              <w:t>，工程结束后，尽快实施施工迹地恢复，及时栽种绿化植被，减少裸露地表，防止水土流失。</w:t>
            </w:r>
          </w:p>
          <w:p w14:paraId="37181893">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④动工前在项目周边修建临时围挡、及时夯实回填土、及时绿化、施工道路采用砂石路面。</w:t>
            </w:r>
          </w:p>
          <w:p w14:paraId="7E6DFDBE">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⑤各种临时占地在工程完成后应尽快进行植被恢复，做到边使用边平整边恢复，恢复后应达到破坏前的植被覆盖率。</w:t>
            </w:r>
          </w:p>
          <w:p w14:paraId="1424AE84">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⑥施工期结束后，厂区内将尽可能增加绿化，以改善周围的生态环境。</w:t>
            </w:r>
          </w:p>
          <w:p w14:paraId="5F45A1D2">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⑦施工期应控制在施工用地范围内进行，不得越界施工。</w:t>
            </w:r>
          </w:p>
          <w:p w14:paraId="0E0E710C">
            <w:pPr>
              <w:adjustRightInd w:val="0"/>
              <w:snapToGrid w:val="0"/>
              <w:spacing w:line="240" w:lineRule="atLeas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⑧</w:t>
            </w:r>
            <w:r>
              <w:rPr>
                <w:rFonts w:hint="default" w:ascii="Times New Roman" w:hAnsi="Times New Roman" w:eastAsia="宋体" w:cs="Times New Roman"/>
                <w:color w:val="auto"/>
                <w:sz w:val="21"/>
                <w:szCs w:val="21"/>
                <w:lang w:val="en-US" w:eastAsia="zh-CN"/>
              </w:rPr>
              <w:t>永久占地</w:t>
            </w:r>
            <w:r>
              <w:rPr>
                <w:rFonts w:hint="default" w:ascii="Times New Roman" w:hAnsi="Times New Roman" w:eastAsia="宋体" w:cs="Times New Roman"/>
                <w:color w:val="auto"/>
                <w:sz w:val="21"/>
                <w:szCs w:val="21"/>
              </w:rPr>
              <w:t>表面硬化，铺设排水系统和废水收集系统，并采取保证乔灌草存活率，对植被养护管理</w:t>
            </w:r>
            <w:r>
              <w:rPr>
                <w:rFonts w:hint="default" w:ascii="Times New Roman" w:hAnsi="Times New Roman" w:eastAsia="宋体" w:cs="Times New Roman"/>
                <w:color w:val="auto"/>
                <w:sz w:val="21"/>
                <w:szCs w:val="21"/>
                <w:lang w:eastAsia="zh-CN"/>
              </w:rPr>
              <w:t>。</w:t>
            </w:r>
          </w:p>
          <w:p w14:paraId="73EA55EC">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⑨</w:t>
            </w:r>
            <w:r>
              <w:rPr>
                <w:rFonts w:hint="default" w:ascii="Times New Roman" w:hAnsi="Times New Roman" w:eastAsia="宋体" w:cs="Times New Roman"/>
                <w:color w:val="auto"/>
                <w:sz w:val="21"/>
                <w:szCs w:val="21"/>
                <w:lang w:val="en-US" w:eastAsia="zh-CN"/>
              </w:rPr>
              <w:t>道路两侧种植当地优势植被进行绿化。</w:t>
            </w:r>
          </w:p>
          <w:p w14:paraId="50451EE8">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⑩</w:t>
            </w:r>
            <w:r>
              <w:rPr>
                <w:rFonts w:hint="default" w:ascii="Times New Roman" w:hAnsi="Times New Roman" w:eastAsia="宋体" w:cs="Times New Roman"/>
                <w:color w:val="auto"/>
                <w:sz w:val="21"/>
                <w:szCs w:val="21"/>
              </w:rPr>
              <w:t>加强对施工人员的教育，不得对施工范围外的动植物进行破坏，不得将固废抛洒到附近的河道水体内。</w:t>
            </w:r>
          </w:p>
          <w:p w14:paraId="70F10F13">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项目建成后，对施工占地进行植被恢复，临时占地植被盖度不低于60%，永久占地植被盖度不低于30%。</w:t>
            </w:r>
          </w:p>
          <w:p w14:paraId="52E10246">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1.2其他保护措施</w:t>
            </w:r>
          </w:p>
          <w:p w14:paraId="29DCBCC6">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（1）加强对承包商的环保教育，施工过程中严禁施工人员在施工范围外私自占地堆放施工机械或建筑材料；严禁施工人员在施工区域以外的绿地活动，特别是采挖、破坏植被。</w:t>
            </w:r>
          </w:p>
          <w:p w14:paraId="136FD99F">
            <w:pPr>
              <w:adjustRightInd w:val="0"/>
              <w:snapToGrid w:val="0"/>
              <w:spacing w:line="240" w:lineRule="atLeas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在修筑路基时应尽量做到挖填平衡，施工时先将表层砾石层剥离一边，取土结束后将砾石重新覆盖。做好临时拦挡、排水和覆盖措施。浅丘区产生的弃渣（石渣）可用于覆盖扰动地面。施工结束后，恢复原地貌。</w:t>
            </w:r>
          </w:p>
        </w:tc>
        <w:tc>
          <w:tcPr>
            <w:tcW w:w="1377" w:type="pct"/>
            <w:noWrap w:val="0"/>
            <w:vAlign w:val="center"/>
          </w:tcPr>
          <w:p w14:paraId="04954A83">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w:t>
            </w:r>
            <w:r>
              <w:rPr>
                <w:rFonts w:hint="default" w:ascii="Times New Roman" w:hAnsi="Times New Roman" w:eastAsia="宋体" w:cs="Times New Roman"/>
                <w:color w:val="auto"/>
                <w:sz w:val="21"/>
                <w:szCs w:val="21"/>
                <w:lang w:eastAsia="zh-CN"/>
              </w:rPr>
              <w:t>施工结束后，施工区域</w:t>
            </w:r>
            <w:r>
              <w:rPr>
                <w:rFonts w:hint="default" w:ascii="Times New Roman" w:hAnsi="Times New Roman" w:eastAsia="宋体" w:cs="Times New Roman"/>
                <w:color w:val="auto"/>
                <w:sz w:val="21"/>
                <w:szCs w:val="21"/>
              </w:rPr>
              <w:t>将恢复原有植被，人工建筑物拆除，复垦选择草种为沙打旺和紫花苜蓿，每公顷播种量30kg。</w:t>
            </w:r>
            <w:r>
              <w:rPr>
                <w:rFonts w:hint="default" w:ascii="Times New Roman" w:hAnsi="Times New Roman" w:eastAsia="宋体" w:cs="Times New Roman"/>
                <w:color w:val="auto"/>
                <w:sz w:val="21"/>
                <w:szCs w:val="21"/>
                <w:lang w:eastAsia="zh-CN"/>
              </w:rPr>
              <w:t>使</w:t>
            </w:r>
            <w:r>
              <w:rPr>
                <w:rFonts w:hint="default" w:ascii="Times New Roman" w:hAnsi="Times New Roman" w:eastAsia="宋体" w:cs="Times New Roman"/>
                <w:color w:val="auto"/>
                <w:sz w:val="21"/>
                <w:szCs w:val="21"/>
              </w:rPr>
              <w:t>生态环境质量将逐步恢复至原有水平。</w:t>
            </w:r>
          </w:p>
        </w:tc>
        <w:tc>
          <w:tcPr>
            <w:tcW w:w="502" w:type="pct"/>
            <w:noWrap w:val="0"/>
            <w:vAlign w:val="center"/>
          </w:tcPr>
          <w:p w14:paraId="1172C5FD">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6FD78692">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3A94AE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7E39DA04">
            <w:pPr>
              <w:adjustRightInd w:val="0"/>
              <w:snapToGrid w:val="0"/>
              <w:spacing w:line="240" w:lineRule="atLeas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水生生态</w:t>
            </w:r>
          </w:p>
        </w:tc>
        <w:tc>
          <w:tcPr>
            <w:tcW w:w="2155" w:type="pct"/>
            <w:noWrap w:val="0"/>
            <w:vAlign w:val="center"/>
          </w:tcPr>
          <w:p w14:paraId="5F16A939">
            <w:pPr>
              <w:adjustRightInd w:val="0"/>
              <w:snapToGrid w:val="0"/>
              <w:spacing w:line="240" w:lineRule="atLeast"/>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本项目施工废水主要包括矿井涌水、生产废水、生活污水。</w:t>
            </w:r>
          </w:p>
          <w:p w14:paraId="7B982A04">
            <w:pPr>
              <w:adjustRightInd w:val="0"/>
              <w:snapToGrid w:val="0"/>
              <w:spacing w:line="240" w:lineRule="atLeast"/>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施工单位在现场布置3个沉淀池，单个沉淀池容积为5m×5m×1.5m。施工期间，矿井涌水和生产废水产生量约为60m</w:t>
            </w:r>
            <w:r>
              <w:rPr>
                <w:rFonts w:hint="eastAsia" w:ascii="Times New Roman" w:hAnsi="Times New Roman" w:eastAsia="宋体" w:cs="Times New Roman"/>
                <w:color w:val="auto"/>
                <w:sz w:val="21"/>
                <w:szCs w:val="21"/>
                <w:vertAlign w:val="superscript"/>
                <w:lang w:val="en-US" w:eastAsia="zh-CN"/>
              </w:rPr>
              <w:t>3</w:t>
            </w:r>
            <w:r>
              <w:rPr>
                <w:rFonts w:hint="eastAsia" w:ascii="Times New Roman" w:hAnsi="Times New Roman" w:eastAsia="宋体" w:cs="Times New Roman"/>
                <w:color w:val="auto"/>
                <w:sz w:val="21"/>
                <w:szCs w:val="21"/>
                <w:lang w:val="en-US" w:eastAsia="zh-CN"/>
              </w:rPr>
              <w:t>/d，矿井涌水及生产废水排至三级沉淀池进行沉淀处理，处理后的废水依托矿区现有矿井涌水处理装置进行处置，处理达到《地表水环境质量标准》（GB3838-2002）</w:t>
            </w:r>
            <w:r>
              <w:rPr>
                <w:rFonts w:hint="eastAsia" w:ascii="Times New Roman" w:hAnsi="Times New Roman" w:eastAsia="宋体" w:cs="Times New Roman"/>
                <w:color w:val="auto"/>
                <w:sz w:val="21"/>
                <w:szCs w:val="21"/>
                <w:lang w:val="en-US" w:eastAsia="zh-CN"/>
              </w:rPr>
              <w:fldChar w:fldCharType="begin"/>
            </w:r>
            <w:r>
              <w:rPr>
                <w:rFonts w:hint="eastAsia" w:ascii="Times New Roman" w:hAnsi="Times New Roman" w:eastAsia="宋体" w:cs="Times New Roman"/>
                <w:color w:val="auto"/>
                <w:sz w:val="21"/>
                <w:szCs w:val="21"/>
                <w:lang w:val="en-US" w:eastAsia="zh-CN"/>
              </w:rPr>
              <w:instrText xml:space="preserve"> = 3 \* ROMAN \* MERGEFORMAT </w:instrText>
            </w:r>
            <w:r>
              <w:rPr>
                <w:rFonts w:hint="eastAsia" w:ascii="Times New Roman" w:hAnsi="Times New Roman" w:eastAsia="宋体" w:cs="Times New Roman"/>
                <w:color w:val="auto"/>
                <w:sz w:val="21"/>
                <w:szCs w:val="21"/>
                <w:lang w:val="en-US" w:eastAsia="zh-CN"/>
              </w:rPr>
              <w:fldChar w:fldCharType="separate"/>
            </w:r>
            <w:r>
              <w:rPr>
                <w:rFonts w:hint="default" w:ascii="Times New Roman" w:hAnsi="Times New Roman" w:eastAsia="宋体" w:cs="Times New Roman"/>
                <w:color w:val="auto"/>
                <w:sz w:val="21"/>
                <w:szCs w:val="21"/>
                <w:lang w:val="en-US" w:eastAsia="zh-CN"/>
              </w:rPr>
              <w:t>III</w:t>
            </w:r>
            <w:r>
              <w:rPr>
                <w:rFonts w:hint="eastAsia" w:ascii="Times New Roman" w:hAnsi="Times New Roman" w:eastAsia="宋体" w:cs="Times New Roman"/>
                <w:color w:val="auto"/>
                <w:sz w:val="21"/>
                <w:szCs w:val="21"/>
                <w:lang w:val="en-US" w:eastAsia="zh-CN"/>
              </w:rPr>
              <w:fldChar w:fldCharType="end"/>
            </w:r>
            <w:r>
              <w:rPr>
                <w:rFonts w:hint="eastAsia" w:ascii="Times New Roman" w:hAnsi="Times New Roman" w:eastAsia="宋体" w:cs="Times New Roman"/>
                <w:color w:val="auto"/>
                <w:sz w:val="21"/>
                <w:szCs w:val="21"/>
                <w:lang w:val="en-US" w:eastAsia="zh-CN"/>
              </w:rPr>
              <w:t>类标准后，部分回用于鄂温克电厂用水，部分外排至伊敏河。</w:t>
            </w:r>
          </w:p>
          <w:p w14:paraId="34BDC47F">
            <w:pPr>
              <w:adjustRightInd w:val="0"/>
              <w:snapToGrid w:val="0"/>
              <w:spacing w:line="240" w:lineRule="atLeast"/>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生活污水依托现有一体化处理设备进行二级处理，回用于鄂温克电厂用水。</w:t>
            </w:r>
          </w:p>
        </w:tc>
        <w:tc>
          <w:tcPr>
            <w:tcW w:w="1377" w:type="pct"/>
            <w:noWrap w:val="0"/>
            <w:vAlign w:val="center"/>
          </w:tcPr>
          <w:p w14:paraId="509E13A9">
            <w:pPr>
              <w:adjustRightInd w:val="0"/>
              <w:snapToGrid w:val="0"/>
              <w:spacing w:line="240" w:lineRule="atLeas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废水不外排</w:t>
            </w:r>
          </w:p>
        </w:tc>
        <w:tc>
          <w:tcPr>
            <w:tcW w:w="502" w:type="pct"/>
            <w:noWrap w:val="0"/>
            <w:vAlign w:val="center"/>
          </w:tcPr>
          <w:p w14:paraId="6BE8C6EC">
            <w:pPr>
              <w:adjustRightInd w:val="0"/>
              <w:snapToGrid w:val="0"/>
              <w:spacing w:line="240" w:lineRule="atLeas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运营期生活污水依托现有一体化处理设备进行二级处理，</w:t>
            </w:r>
            <w:r>
              <w:rPr>
                <w:rFonts w:hint="eastAsia" w:ascii="Times New Roman" w:hAnsi="Times New Roman" w:eastAsia="宋体" w:cs="Times New Roman"/>
                <w:color w:val="auto"/>
                <w:sz w:val="21"/>
                <w:szCs w:val="21"/>
                <w:lang w:val="en-US" w:eastAsia="zh-CN"/>
              </w:rPr>
              <w:t>回用于鄂温克电厂用水</w:t>
            </w:r>
            <w:r>
              <w:rPr>
                <w:rFonts w:hint="default" w:ascii="Times New Roman" w:hAnsi="Times New Roman" w:eastAsia="宋体" w:cs="Times New Roman"/>
                <w:color w:val="auto"/>
                <w:sz w:val="21"/>
                <w:szCs w:val="21"/>
                <w:lang w:val="en-US" w:eastAsia="zh-CN"/>
              </w:rPr>
              <w:t>。</w:t>
            </w:r>
          </w:p>
        </w:tc>
        <w:tc>
          <w:tcPr>
            <w:tcW w:w="534" w:type="pct"/>
            <w:noWrap w:val="0"/>
            <w:vAlign w:val="center"/>
          </w:tcPr>
          <w:p w14:paraId="0042FA80">
            <w:pPr>
              <w:adjustRightInd w:val="0"/>
              <w:snapToGrid w:val="0"/>
              <w:spacing w:line="240" w:lineRule="atLeas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废水满足《污水综合排放标准》GB8978—1996表4一级标准。</w:t>
            </w:r>
          </w:p>
        </w:tc>
      </w:tr>
      <w:tr w14:paraId="430136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1A1071CC">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地下水及土壤环境</w:t>
            </w:r>
          </w:p>
        </w:tc>
        <w:tc>
          <w:tcPr>
            <w:tcW w:w="2155" w:type="pct"/>
            <w:noWrap w:val="0"/>
            <w:vAlign w:val="center"/>
          </w:tcPr>
          <w:p w14:paraId="7BD11498">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377" w:type="pct"/>
            <w:noWrap w:val="0"/>
            <w:vAlign w:val="center"/>
          </w:tcPr>
          <w:p w14:paraId="4C3B41B3">
            <w:pPr>
              <w:adjustRightInd w:val="0"/>
              <w:snapToGrid w:val="0"/>
              <w:spacing w:line="240" w:lineRule="atLeas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502" w:type="pct"/>
            <w:noWrap w:val="0"/>
            <w:vAlign w:val="center"/>
          </w:tcPr>
          <w:p w14:paraId="3A976C25">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56206D9C">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1CBDD3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4AF94734">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声环境</w:t>
            </w:r>
          </w:p>
        </w:tc>
        <w:tc>
          <w:tcPr>
            <w:tcW w:w="2155" w:type="pct"/>
            <w:noWrap w:val="0"/>
            <w:vAlign w:val="center"/>
          </w:tcPr>
          <w:p w14:paraId="77BC9ED7">
            <w:pPr>
              <w:adjustRightInd w:val="0"/>
              <w:snapToGrid w:val="0"/>
              <w:spacing w:line="240" w:lineRule="atLeast"/>
              <w:rPr>
                <w:rFonts w:hint="default" w:ascii="Times New Roman" w:hAnsi="Times New Roman" w:eastAsia="宋体" w:cs="Times New Roman"/>
                <w:color w:val="auto"/>
                <w:sz w:val="21"/>
                <w:szCs w:val="21"/>
                <w:lang w:val="en-US" w:eastAsia="zh-CN"/>
              </w:rPr>
            </w:pPr>
            <w:bookmarkStart w:id="13" w:name="_Hlk71737576"/>
            <w:r>
              <w:rPr>
                <w:rFonts w:hint="default" w:ascii="Times New Roman" w:hAnsi="Times New Roman" w:eastAsia="宋体" w:cs="Times New Roman"/>
                <w:color w:val="auto"/>
                <w:sz w:val="21"/>
                <w:szCs w:val="21"/>
                <w:lang w:val="en-US" w:eastAsia="zh-CN"/>
              </w:rPr>
              <w:t>采用特殊的减震材料，并安装吸声材料，尽量使用噪声较低的设备。</w:t>
            </w:r>
            <w:bookmarkEnd w:id="13"/>
          </w:p>
        </w:tc>
        <w:tc>
          <w:tcPr>
            <w:tcW w:w="1377" w:type="pct"/>
            <w:noWrap w:val="0"/>
            <w:vAlign w:val="center"/>
          </w:tcPr>
          <w:p w14:paraId="52BD6AE7">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GB"/>
              </w:rPr>
              <w:t>《建筑施工场界环境噪声排放标准》（GB12523-</w:t>
            </w:r>
            <w:r>
              <w:rPr>
                <w:rFonts w:hint="default" w:ascii="Times New Roman" w:hAnsi="Times New Roman" w:eastAsia="宋体" w:cs="Times New Roman"/>
                <w:color w:val="auto"/>
                <w:sz w:val="21"/>
                <w:szCs w:val="21"/>
              </w:rPr>
              <w:t>2011</w:t>
            </w:r>
            <w:r>
              <w:rPr>
                <w:rFonts w:hint="default" w:ascii="Times New Roman" w:hAnsi="Times New Roman" w:eastAsia="宋体" w:cs="Times New Roman"/>
                <w:color w:val="auto"/>
                <w:sz w:val="21"/>
                <w:szCs w:val="21"/>
                <w:lang w:val="en-GB"/>
              </w:rPr>
              <w:t>）中表</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lang w:val="en-GB"/>
              </w:rPr>
              <w:t>标准限值</w:t>
            </w:r>
          </w:p>
        </w:tc>
        <w:tc>
          <w:tcPr>
            <w:tcW w:w="502" w:type="pct"/>
            <w:noWrap w:val="0"/>
            <w:vAlign w:val="center"/>
          </w:tcPr>
          <w:p w14:paraId="4CE10B40">
            <w:pPr>
              <w:adjustRightInd w:val="0"/>
              <w:snapToGrid w:val="0"/>
              <w:spacing w:line="240" w:lineRule="atLeas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选用低噪声设备</w:t>
            </w:r>
          </w:p>
        </w:tc>
        <w:tc>
          <w:tcPr>
            <w:tcW w:w="534" w:type="pct"/>
            <w:noWrap w:val="0"/>
            <w:vAlign w:val="center"/>
          </w:tcPr>
          <w:p w14:paraId="0A20EE37">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《工业企业厂界环境噪声排放标准》（GB12348-2008）2类标准</w:t>
            </w:r>
          </w:p>
        </w:tc>
      </w:tr>
      <w:tr w14:paraId="784314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07D676A4">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振动</w:t>
            </w:r>
          </w:p>
        </w:tc>
        <w:tc>
          <w:tcPr>
            <w:tcW w:w="2155" w:type="pct"/>
            <w:noWrap w:val="0"/>
            <w:vAlign w:val="center"/>
          </w:tcPr>
          <w:p w14:paraId="20B92D7C">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377" w:type="pct"/>
            <w:noWrap w:val="0"/>
            <w:vAlign w:val="center"/>
          </w:tcPr>
          <w:p w14:paraId="3FED0370">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02" w:type="pct"/>
            <w:noWrap w:val="0"/>
            <w:vAlign w:val="center"/>
          </w:tcPr>
          <w:p w14:paraId="09002917">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5F7AA9F4">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3B74BD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06C48FD8">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大气环境</w:t>
            </w:r>
          </w:p>
        </w:tc>
        <w:tc>
          <w:tcPr>
            <w:tcW w:w="2155" w:type="pct"/>
            <w:noWrap w:val="0"/>
            <w:vAlign w:val="center"/>
          </w:tcPr>
          <w:p w14:paraId="488A72FB">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a.必须湿法作业，必须打围作业，必须硬化道路，必须设置冲洗设施、设备，必须配齐保洁人员，必须定时清扫施工现场；</w:t>
            </w:r>
          </w:p>
          <w:p w14:paraId="0B9E82E4">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b.不准车辆带泥出门，不准运渣车辆超载，不准高空抛撒建渣，不准现场搅拌混凝土，不准场地积水，不准现场焚烧废弃物。禁止在大风天气进行作业。临时堆场采用塑料篷布进行遮盖；建筑、原料运输车辆应进行覆盖。</w:t>
            </w:r>
          </w:p>
          <w:p w14:paraId="6E824409">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c.在施工期间安排职工定期对施工场地进行洒水降尘，洒水次数根据实际天气状况确定，一般每天洒水1～2次，若遇大风或干燥天气可适当减少或增加洒水次数；</w:t>
            </w:r>
          </w:p>
          <w:p w14:paraId="679982AC">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d.施工期间对施工场地进行封闭，以减少施工过程中扬尘四处飞扬，降低施工扬尘向大气排放；</w:t>
            </w:r>
          </w:p>
          <w:p w14:paraId="37233250">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e.在施工场地对施工车辆必须实施限速行驶，禁止超载，选择对项目周边环境影响较小的运输路线，定时对运输路线进行洒水抑尘并清扫。对运输沙、石、水泥、土方、垃圾等易产生扬尘物质的车辆进行覆盖；施工工地运输车辆驶出工地前必须作除泥除尘处理，严禁将泥土尘土带出工地；施工单位在施工期间严格落实本次环评提出的环保措施后，施工期间废气将明显减少，不会对周边环境产生较大影响。</w:t>
            </w:r>
          </w:p>
          <w:p w14:paraId="5427D8B5">
            <w:pPr>
              <w:adjustRightInd w:val="0"/>
              <w:snapToGrid w:val="0"/>
              <w:spacing w:line="240" w:lineRule="atLeas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f.井下掘进施工过程，应使用低毒、低挥发性钻井液添加剂，减少挥发性和有毒性废气的产生及排放。且施工过程应尽量使用电驱动的设备，以此替代柴油机械设备，减少废气的产生及排放</w:t>
            </w:r>
            <w:r>
              <w:rPr>
                <w:rFonts w:hint="default" w:ascii="Times New Roman" w:hAnsi="Times New Roman" w:eastAsia="宋体" w:cs="Times New Roman"/>
                <w:color w:val="auto"/>
                <w:sz w:val="21"/>
                <w:szCs w:val="21"/>
                <w:lang w:val="en-US" w:eastAsia="zh-CN"/>
              </w:rPr>
              <w:t>。</w:t>
            </w:r>
          </w:p>
        </w:tc>
        <w:tc>
          <w:tcPr>
            <w:tcW w:w="1377" w:type="pct"/>
            <w:noWrap w:val="0"/>
            <w:vAlign w:val="center"/>
          </w:tcPr>
          <w:p w14:paraId="6C3DCEC0">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《大气污染物综合排放标准》（GB16297-1996）表2新污染源大气污染物排放限值</w:t>
            </w:r>
          </w:p>
        </w:tc>
        <w:tc>
          <w:tcPr>
            <w:tcW w:w="502" w:type="pct"/>
            <w:noWrap w:val="0"/>
            <w:vAlign w:val="center"/>
          </w:tcPr>
          <w:p w14:paraId="28A2EA86">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75A0499F">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2599C9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4B13A4F9">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固体废物</w:t>
            </w:r>
          </w:p>
        </w:tc>
        <w:tc>
          <w:tcPr>
            <w:tcW w:w="2155" w:type="pct"/>
            <w:noWrap w:val="0"/>
            <w:vAlign w:val="center"/>
          </w:tcPr>
          <w:p w14:paraId="59BF960B">
            <w:pPr>
              <w:adjustRightInd w:val="0"/>
              <w:snapToGrid w:val="0"/>
              <w:spacing w:line="240" w:lineRule="atLeast"/>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施工期间固体废物主要来自井下施工及地面施工。</w:t>
            </w:r>
          </w:p>
          <w:p w14:paraId="1F3F29C2">
            <w:pPr>
              <w:adjustRightInd w:val="0"/>
              <w:snapToGrid w:val="0"/>
              <w:spacing w:line="240" w:lineRule="atLeast"/>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井下施工如巷道掘进产生的固体废物主要为废土石、岩屑及泥浆；泥浆通过污泥</w:t>
            </w:r>
            <w:r>
              <w:rPr>
                <w:rFonts w:hint="eastAsia" w:cs="Times New Roman"/>
                <w:color w:val="auto"/>
                <w:sz w:val="21"/>
                <w:szCs w:val="21"/>
                <w:lang w:val="en-US" w:eastAsia="zh-CN"/>
              </w:rPr>
              <w:t>脱泥机</w:t>
            </w:r>
            <w:r>
              <w:rPr>
                <w:rFonts w:hint="eastAsia" w:ascii="Times New Roman" w:hAnsi="Times New Roman" w:eastAsia="宋体" w:cs="Times New Roman"/>
                <w:color w:val="auto"/>
                <w:sz w:val="21"/>
                <w:szCs w:val="21"/>
                <w:lang w:val="en-US" w:eastAsia="zh-CN"/>
              </w:rPr>
              <w:t>压滤后，泥饼委托伊敏盛达实业有限责任公司处置，废水排至临时沉淀池处置。废土石及岩屑委托伊敏盛达实业有限责任公司处置。废土石、岩屑及泥饼产生量为57965m</w:t>
            </w:r>
            <w:r>
              <w:rPr>
                <w:rFonts w:hint="eastAsia" w:ascii="Times New Roman" w:hAnsi="Times New Roman" w:eastAsia="宋体" w:cs="Times New Roman"/>
                <w:color w:val="auto"/>
                <w:sz w:val="21"/>
                <w:szCs w:val="21"/>
                <w:vertAlign w:val="superscript"/>
                <w:lang w:val="en-US" w:eastAsia="zh-CN"/>
              </w:rPr>
              <w:t>3</w:t>
            </w:r>
            <w:r>
              <w:rPr>
                <w:rFonts w:hint="eastAsia" w:ascii="Times New Roman" w:hAnsi="Times New Roman" w:eastAsia="宋体" w:cs="Times New Roman"/>
                <w:color w:val="auto"/>
                <w:sz w:val="21"/>
                <w:szCs w:val="21"/>
                <w:lang w:val="en-US" w:eastAsia="zh-CN"/>
              </w:rPr>
              <w:t>。</w:t>
            </w:r>
          </w:p>
          <w:p w14:paraId="3D06B262">
            <w:pPr>
              <w:adjustRightInd w:val="0"/>
              <w:snapToGrid w:val="0"/>
              <w:spacing w:line="240" w:lineRule="atLeast"/>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井上施工场地施工人员为</w:t>
            </w:r>
            <w:r>
              <w:rPr>
                <w:rFonts w:hint="eastAsia" w:cs="Times New Roman"/>
                <w:color w:val="auto"/>
                <w:sz w:val="21"/>
                <w:szCs w:val="21"/>
                <w:lang w:val="en-US" w:eastAsia="zh-CN"/>
              </w:rPr>
              <w:t>110</w:t>
            </w:r>
            <w:r>
              <w:rPr>
                <w:rFonts w:hint="eastAsia" w:ascii="Times New Roman" w:hAnsi="Times New Roman" w:eastAsia="宋体" w:cs="Times New Roman"/>
                <w:color w:val="auto"/>
                <w:sz w:val="21"/>
                <w:szCs w:val="21"/>
                <w:lang w:val="en-US" w:eastAsia="zh-CN"/>
              </w:rPr>
              <w:t>人，生活垃圾产生量按照0.5kg/人/d计算，则生活垃圾产生量为</w:t>
            </w:r>
            <w:r>
              <w:rPr>
                <w:rFonts w:hint="eastAsia" w:cs="Times New Roman"/>
                <w:color w:val="auto"/>
                <w:sz w:val="21"/>
                <w:szCs w:val="21"/>
                <w:lang w:val="en-US" w:eastAsia="zh-CN"/>
              </w:rPr>
              <w:t>26.4</w:t>
            </w:r>
            <w:r>
              <w:rPr>
                <w:rFonts w:hint="eastAsia" w:ascii="Times New Roman" w:hAnsi="Times New Roman" w:eastAsia="宋体" w:cs="Times New Roman"/>
                <w:color w:val="auto"/>
                <w:sz w:val="21"/>
                <w:szCs w:val="21"/>
                <w:lang w:val="en-US" w:eastAsia="zh-CN"/>
              </w:rPr>
              <w:t>t。生活</w:t>
            </w:r>
            <w:r>
              <w:rPr>
                <w:rFonts w:hint="eastAsia" w:cs="Times New Roman"/>
                <w:color w:val="auto"/>
                <w:sz w:val="21"/>
                <w:szCs w:val="21"/>
                <w:lang w:val="en-US" w:eastAsia="zh-CN"/>
              </w:rPr>
              <w:t>垃圾集中收集，委托呼伦贝尔市石全经贸有限公司处置。</w:t>
            </w:r>
          </w:p>
        </w:tc>
        <w:tc>
          <w:tcPr>
            <w:tcW w:w="1377" w:type="pct"/>
            <w:noWrap w:val="0"/>
            <w:vAlign w:val="center"/>
          </w:tcPr>
          <w:p w14:paraId="1025A577">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一般工业固体废物执行《一般工业固体废物贮存和填埋污染控制标准》(GB18599-2020) 。</w:t>
            </w:r>
          </w:p>
        </w:tc>
        <w:tc>
          <w:tcPr>
            <w:tcW w:w="502" w:type="pct"/>
            <w:noWrap w:val="0"/>
            <w:vAlign w:val="center"/>
          </w:tcPr>
          <w:p w14:paraId="4DADB168">
            <w:pPr>
              <w:adjustRightInd w:val="0"/>
              <w:snapToGrid w:val="0"/>
              <w:spacing w:line="240" w:lineRule="atLeast"/>
              <w:jc w:val="center"/>
              <w:rPr>
                <w:rFonts w:hint="default" w:ascii="Times New Roman" w:hAnsi="Times New Roman" w:eastAsia="宋体" w:cs="Times New Roman"/>
                <w:color w:val="auto"/>
                <w:sz w:val="21"/>
                <w:szCs w:val="21"/>
                <w:lang w:eastAsia="zh-CN"/>
              </w:rPr>
            </w:pPr>
            <w:r>
              <w:rPr>
                <w:rFonts w:hint="eastAsia" w:eastAsia="宋体" w:cs="Times New Roman"/>
                <w:color w:val="auto"/>
                <w:kern w:val="2"/>
                <w:sz w:val="21"/>
                <w:szCs w:val="21"/>
                <w:lang w:val="en-US" w:eastAsia="zh-CN"/>
              </w:rPr>
              <w:t>运营期产生的生活垃圾</w:t>
            </w:r>
            <w:r>
              <w:rPr>
                <w:rFonts w:hint="eastAsia" w:cs="Times New Roman"/>
                <w:color w:val="auto"/>
                <w:kern w:val="2"/>
                <w:sz w:val="21"/>
                <w:szCs w:val="21"/>
                <w:lang w:val="en-US" w:eastAsia="zh-CN"/>
              </w:rPr>
              <w:t>委托呼伦贝尔市石全经贸有限公司清运</w:t>
            </w:r>
            <w:r>
              <w:rPr>
                <w:rFonts w:hint="eastAsia" w:eastAsia="宋体" w:cs="Times New Roman"/>
                <w:color w:val="auto"/>
                <w:kern w:val="2"/>
                <w:sz w:val="21"/>
                <w:szCs w:val="21"/>
                <w:lang w:val="en-US" w:eastAsia="zh-CN"/>
              </w:rPr>
              <w:t>。</w:t>
            </w:r>
          </w:p>
        </w:tc>
        <w:tc>
          <w:tcPr>
            <w:tcW w:w="534" w:type="pct"/>
            <w:noWrap w:val="0"/>
            <w:vAlign w:val="center"/>
          </w:tcPr>
          <w:p w14:paraId="6FA72455">
            <w:pPr>
              <w:adjustRightInd w:val="0"/>
              <w:snapToGrid w:val="0"/>
              <w:spacing w:line="240" w:lineRule="atLeas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不外排。</w:t>
            </w:r>
          </w:p>
        </w:tc>
      </w:tr>
      <w:tr w14:paraId="7D7839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2F933A2E">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电磁环境</w:t>
            </w:r>
          </w:p>
        </w:tc>
        <w:tc>
          <w:tcPr>
            <w:tcW w:w="2155" w:type="pct"/>
            <w:noWrap w:val="0"/>
            <w:vAlign w:val="center"/>
          </w:tcPr>
          <w:p w14:paraId="7205D8E7">
            <w:pPr>
              <w:adjustRightInd w:val="0"/>
              <w:snapToGrid w:val="0"/>
              <w:spacing w:line="240" w:lineRule="atLeast"/>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377" w:type="pct"/>
            <w:noWrap w:val="0"/>
            <w:vAlign w:val="center"/>
          </w:tcPr>
          <w:p w14:paraId="58E0F1FA">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02" w:type="pct"/>
            <w:noWrap w:val="0"/>
            <w:vAlign w:val="center"/>
          </w:tcPr>
          <w:p w14:paraId="405D7455">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740086CF">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450982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4A2FDD58">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环境风险</w:t>
            </w:r>
          </w:p>
        </w:tc>
        <w:tc>
          <w:tcPr>
            <w:tcW w:w="2155" w:type="pct"/>
            <w:noWrap w:val="0"/>
            <w:vAlign w:val="center"/>
          </w:tcPr>
          <w:p w14:paraId="36657392">
            <w:pPr>
              <w:adjustRightInd w:val="0"/>
              <w:snapToGrid w:val="0"/>
              <w:spacing w:line="240" w:lineRule="atLeast"/>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377" w:type="pct"/>
            <w:noWrap w:val="0"/>
            <w:vAlign w:val="center"/>
          </w:tcPr>
          <w:p w14:paraId="73CF62FC">
            <w:pPr>
              <w:adjustRightInd w:val="0"/>
              <w:snapToGrid w:val="0"/>
              <w:spacing w:line="240" w:lineRule="atLeast"/>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制定突发环境事件应急预案</w:t>
            </w:r>
          </w:p>
        </w:tc>
        <w:tc>
          <w:tcPr>
            <w:tcW w:w="502" w:type="pct"/>
            <w:noWrap w:val="0"/>
            <w:vAlign w:val="center"/>
          </w:tcPr>
          <w:p w14:paraId="03CCB534">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44F93AB7">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6D90F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4A689248">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环境监测</w:t>
            </w:r>
          </w:p>
        </w:tc>
        <w:tc>
          <w:tcPr>
            <w:tcW w:w="2155" w:type="pct"/>
            <w:noWrap w:val="0"/>
            <w:vAlign w:val="center"/>
          </w:tcPr>
          <w:p w14:paraId="4D9FF835">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377" w:type="pct"/>
            <w:noWrap w:val="0"/>
            <w:vAlign w:val="center"/>
          </w:tcPr>
          <w:p w14:paraId="64BD1A9A">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02" w:type="pct"/>
            <w:noWrap w:val="0"/>
            <w:vAlign w:val="center"/>
          </w:tcPr>
          <w:p w14:paraId="3FAADCAC">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2B670946">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11407F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9" w:type="pct"/>
            <w:noWrap w:val="0"/>
            <w:vAlign w:val="center"/>
          </w:tcPr>
          <w:p w14:paraId="55AD18CD">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其他</w:t>
            </w:r>
          </w:p>
        </w:tc>
        <w:tc>
          <w:tcPr>
            <w:tcW w:w="2155" w:type="pct"/>
            <w:noWrap w:val="0"/>
            <w:vAlign w:val="center"/>
          </w:tcPr>
          <w:p w14:paraId="49197538">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377" w:type="pct"/>
            <w:noWrap w:val="0"/>
            <w:vAlign w:val="center"/>
          </w:tcPr>
          <w:p w14:paraId="741C1E7C">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02" w:type="pct"/>
            <w:noWrap w:val="0"/>
            <w:vAlign w:val="center"/>
          </w:tcPr>
          <w:p w14:paraId="3E4A206D">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34" w:type="pct"/>
            <w:noWrap w:val="0"/>
            <w:vAlign w:val="center"/>
          </w:tcPr>
          <w:p w14:paraId="54184A98">
            <w:pPr>
              <w:adjustRightInd w:val="0"/>
              <w:snapToGrid w:val="0"/>
              <w:spacing w:line="240" w:lineRule="atLeas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bl>
    <w:p w14:paraId="4C22214B">
      <w:pPr>
        <w:rPr>
          <w:color w:val="auto"/>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docGrid w:type="lines" w:linePitch="312" w:charSpace="0"/>
        </w:sectPr>
      </w:pPr>
    </w:p>
    <w:p w14:paraId="79BE0E5C">
      <w:pPr>
        <w:pStyle w:val="2"/>
        <w:spacing w:line="360" w:lineRule="auto"/>
        <w:jc w:val="center"/>
        <w:rPr>
          <w:rFonts w:eastAsia="Times New Roman"/>
          <w:color w:val="auto"/>
          <w:sz w:val="32"/>
          <w:szCs w:val="32"/>
        </w:rPr>
      </w:pPr>
      <w:r>
        <w:rPr>
          <w:rFonts w:eastAsia="Times New Roman"/>
          <w:color w:val="auto"/>
          <w:sz w:val="32"/>
          <w:szCs w:val="32"/>
        </w:rPr>
        <w:t>七、结论</w:t>
      </w:r>
    </w:p>
    <w:tbl>
      <w:tblPr>
        <w:tblStyle w:val="19"/>
        <w:tblW w:w="8995"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8995"/>
      </w:tblGrid>
      <w:tr w14:paraId="39DBA4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349" w:hRule="atLeast"/>
          <w:jc w:val="center"/>
        </w:trPr>
        <w:tc>
          <w:tcPr>
            <w:tcW w:w="8995" w:type="dxa"/>
            <w:vAlign w:val="center"/>
          </w:tcPr>
          <w:p w14:paraId="66E155D2">
            <w:pPr>
              <w:spacing w:line="360" w:lineRule="auto"/>
              <w:jc w:val="center"/>
              <w:rPr>
                <w:rFonts w:eastAsia="Times New Roman"/>
                <w:color w:val="auto"/>
                <w:sz w:val="24"/>
              </w:rPr>
            </w:pPr>
            <w:r>
              <w:rPr>
                <w:rFonts w:eastAsia="Times New Roman"/>
                <w:color w:val="auto"/>
                <w:sz w:val="24"/>
              </w:rPr>
              <w:t>本工程位于</w:t>
            </w:r>
            <w:r>
              <w:rPr>
                <w:rFonts w:hint="eastAsia" w:ascii="Times New Roman" w:hAnsi="Times New Roman" w:eastAsia="Times New Roman" w:cs="Times New Roman"/>
                <w:color w:val="auto"/>
                <w:sz w:val="24"/>
              </w:rPr>
              <w:t>内蒙古自治区呼伦贝尔市鄂温克族自治旗</w:t>
            </w:r>
            <w:r>
              <w:rPr>
                <w:rFonts w:hint="eastAsia" w:eastAsia="Times New Roman"/>
                <w:color w:val="auto"/>
                <w:sz w:val="24"/>
                <w:szCs w:val="24"/>
                <w:lang w:val="en-US" w:eastAsia="zh-CN"/>
              </w:rPr>
              <w:t>锡尼河东苏木敏东一矿工业场地内</w:t>
            </w:r>
            <w:r>
              <w:rPr>
                <w:rFonts w:eastAsia="Times New Roman"/>
                <w:color w:val="auto"/>
                <w:sz w:val="24"/>
              </w:rPr>
              <w:t>，</w:t>
            </w:r>
            <w:r>
              <w:rPr>
                <w:rFonts w:hint="eastAsia"/>
                <w:color w:val="auto"/>
                <w:sz w:val="24"/>
              </w:rPr>
              <w:t>选址</w:t>
            </w:r>
            <w:r>
              <w:rPr>
                <w:rFonts w:eastAsia="Times New Roman"/>
                <w:color w:val="auto"/>
                <w:sz w:val="24"/>
              </w:rPr>
              <w:t>不占用永久基本农田及生态保护红线，符合国家产业政策，从环境保护角度，该项目建设可行。</w:t>
            </w:r>
            <w:r>
              <w:rPr>
                <w:rFonts w:hint="eastAsia" w:eastAsia="Times New Roman"/>
                <w:color w:val="auto"/>
                <w:sz w:val="24"/>
              </w:rPr>
              <w:t>在开工建设前，应该取得相应许可手续。</w:t>
            </w:r>
          </w:p>
        </w:tc>
      </w:tr>
    </w:tbl>
    <w:p w14:paraId="6BAE601B">
      <w:pPr>
        <w:snapToGrid w:val="0"/>
        <w:spacing w:line="700" w:lineRule="exact"/>
        <w:rPr>
          <w:rFonts w:hint="default" w:ascii="Times New Roman" w:hAnsi="Times New Roman" w:eastAsia="宋体" w:cs="Times New Roman"/>
          <w:color w:val="auto"/>
          <w:sz w:val="32"/>
          <w:szCs w:val="32"/>
          <w:lang w:bidi="ar"/>
        </w:rPr>
      </w:pPr>
    </w:p>
    <w:p w14:paraId="57E53354">
      <w:pPr>
        <w:adjustRightInd w:val="0"/>
        <w:spacing w:line="360" w:lineRule="auto"/>
        <w:outlineLvl w:val="0"/>
        <w:rPr>
          <w:rFonts w:hint="eastAsia"/>
          <w:color w:val="auto"/>
          <w:sz w:val="24"/>
        </w:rPr>
      </w:pPr>
      <w:r>
        <w:rPr>
          <w:rFonts w:hint="eastAsia"/>
          <w:color w:val="auto"/>
          <w:sz w:val="24"/>
        </w:rPr>
        <w:t>附件1</w:t>
      </w:r>
      <w:r>
        <w:rPr>
          <w:rFonts w:hint="eastAsia"/>
          <w:color w:val="auto"/>
          <w:sz w:val="24"/>
          <w:lang w:eastAsia="zh-CN"/>
        </w:rPr>
        <w:t>：</w:t>
      </w:r>
      <w:r>
        <w:rPr>
          <w:rFonts w:hint="eastAsia"/>
          <w:color w:val="auto"/>
          <w:sz w:val="24"/>
        </w:rPr>
        <w:t>委托书</w:t>
      </w:r>
    </w:p>
    <w:p w14:paraId="61993E36">
      <w:pPr>
        <w:rPr>
          <w:rFonts w:hint="eastAsia" w:eastAsia="宋体"/>
          <w:color w:val="auto"/>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eastAsia="宋体"/>
          <w:color w:val="auto"/>
          <w:lang w:eastAsia="zh-CN"/>
        </w:rPr>
        <w:drawing>
          <wp:inline distT="0" distB="0" distL="114300" distR="114300">
            <wp:extent cx="5262880" cy="7545070"/>
            <wp:effectExtent l="0" t="0" r="10160" b="13970"/>
            <wp:docPr id="79" name="图片 79" descr="e69346bcc845319da758036d330229ef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e69346bcc845319da758036d330229ef_"/>
                    <pic:cNvPicPr>
                      <a:picLocks noChangeAspect="1"/>
                    </pic:cNvPicPr>
                  </pic:nvPicPr>
                  <pic:blipFill>
                    <a:blip r:embed="rId31"/>
                    <a:stretch>
                      <a:fillRect/>
                    </a:stretch>
                  </pic:blipFill>
                  <pic:spPr>
                    <a:xfrm>
                      <a:off x="0" y="0"/>
                      <a:ext cx="5262880" cy="7545070"/>
                    </a:xfrm>
                    <a:prstGeom prst="rect">
                      <a:avLst/>
                    </a:prstGeom>
                  </pic:spPr>
                </pic:pic>
              </a:graphicData>
            </a:graphic>
          </wp:inline>
        </w:drawing>
      </w:r>
    </w:p>
    <w:p w14:paraId="13B621EA">
      <w:pPr>
        <w:adjustRightInd w:val="0"/>
        <w:spacing w:line="360" w:lineRule="auto"/>
        <w:outlineLvl w:val="0"/>
        <w:rPr>
          <w:color w:val="auto"/>
          <w:sz w:val="24"/>
        </w:rPr>
      </w:pPr>
      <w:r>
        <w:rPr>
          <w:rFonts w:hint="eastAsia"/>
          <w:color w:val="auto"/>
          <w:sz w:val="24"/>
        </w:rPr>
        <w:t>附件2：</w:t>
      </w:r>
      <w:r>
        <w:rPr>
          <w:rFonts w:hint="eastAsia"/>
          <w:color w:val="auto"/>
          <w:sz w:val="24"/>
          <w:lang w:eastAsia="zh-CN"/>
        </w:rPr>
        <w:t>备案</w:t>
      </w:r>
      <w:r>
        <w:rPr>
          <w:rFonts w:hint="eastAsia"/>
          <w:color w:val="auto"/>
          <w:sz w:val="24"/>
        </w:rPr>
        <w:t>文件</w:t>
      </w:r>
    </w:p>
    <w:p w14:paraId="265A1FD3">
      <w:pPr>
        <w:jc w:val="both"/>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drawing>
          <wp:inline distT="0" distB="0" distL="114300" distR="114300">
            <wp:extent cx="5270500" cy="7391400"/>
            <wp:effectExtent l="0" t="0" r="6350" b="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32"/>
                    <a:stretch>
                      <a:fillRect/>
                    </a:stretch>
                  </pic:blipFill>
                  <pic:spPr>
                    <a:xfrm>
                      <a:off x="0" y="0"/>
                      <a:ext cx="5270500" cy="7391400"/>
                    </a:xfrm>
                    <a:prstGeom prst="rect">
                      <a:avLst/>
                    </a:prstGeom>
                    <a:noFill/>
                    <a:ln w="12700">
                      <a:noFill/>
                    </a:ln>
                  </pic:spPr>
                </pic:pic>
              </a:graphicData>
            </a:graphic>
          </wp:inline>
        </w:drawing>
      </w:r>
    </w:p>
    <w:p w14:paraId="5FC0E3C2">
      <w:pPr>
        <w:adjustRightInd w:val="0"/>
        <w:spacing w:line="360" w:lineRule="auto"/>
        <w:outlineLvl w:val="0"/>
        <w:rPr>
          <w:rFonts w:hint="eastAsia"/>
          <w:color w:val="auto"/>
          <w:sz w:val="24"/>
          <w:lang w:eastAsia="zh-CN"/>
        </w:rPr>
      </w:pPr>
      <w:r>
        <w:rPr>
          <w:rFonts w:hint="eastAsia"/>
          <w:color w:val="auto"/>
          <w:sz w:val="24"/>
        </w:rPr>
        <w:t>附件3：</w:t>
      </w:r>
      <w:r>
        <w:rPr>
          <w:rFonts w:hint="eastAsia"/>
          <w:color w:val="auto"/>
          <w:sz w:val="24"/>
          <w:lang w:eastAsia="zh-CN"/>
        </w:rPr>
        <w:t>现有工程环评批复及验收意见</w:t>
      </w:r>
    </w:p>
    <w:p w14:paraId="0E1FB4A5">
      <w:pPr>
        <w:pStyle w:val="18"/>
        <w:ind w:left="0" w:leftChars="0" w:firstLine="0" w:firstLineChars="0"/>
        <w:jc w:val="center"/>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drawing>
          <wp:inline distT="0" distB="0" distL="114300" distR="114300">
            <wp:extent cx="5215255" cy="7225665"/>
            <wp:effectExtent l="0" t="0" r="4445" b="13335"/>
            <wp:docPr id="17" name="图片 12" descr="img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img042"/>
                    <pic:cNvPicPr>
                      <a:picLocks noChangeAspect="1"/>
                    </pic:cNvPicPr>
                  </pic:nvPicPr>
                  <pic:blipFill>
                    <a:blip r:embed="rId33"/>
                    <a:srcRect l="9206" t="13527" r="13169" b="11530"/>
                    <a:stretch>
                      <a:fillRect/>
                    </a:stretch>
                  </pic:blipFill>
                  <pic:spPr>
                    <a:xfrm>
                      <a:off x="0" y="0"/>
                      <a:ext cx="5215255" cy="7225665"/>
                    </a:xfrm>
                    <a:prstGeom prst="rect">
                      <a:avLst/>
                    </a:prstGeom>
                    <a:noFill/>
                    <a:ln w="12700">
                      <a:noFill/>
                    </a:ln>
                  </pic:spPr>
                </pic:pic>
              </a:graphicData>
            </a:graphic>
          </wp:inline>
        </w:drawing>
      </w:r>
      <w:r>
        <w:rPr>
          <w:color w:val="auto"/>
        </w:rPr>
        <w:drawing>
          <wp:inline distT="0" distB="0" distL="114300" distR="114300">
            <wp:extent cx="5259705" cy="7640320"/>
            <wp:effectExtent l="0" t="0" r="17145" b="17780"/>
            <wp:docPr id="18" name="图片 13" descr="img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descr="img043"/>
                    <pic:cNvPicPr>
                      <a:picLocks noChangeAspect="1"/>
                    </pic:cNvPicPr>
                  </pic:nvPicPr>
                  <pic:blipFill>
                    <a:blip r:embed="rId34"/>
                    <a:srcRect l="8977" t="8795" r="12352" b="11757"/>
                    <a:stretch>
                      <a:fillRect/>
                    </a:stretch>
                  </pic:blipFill>
                  <pic:spPr>
                    <a:xfrm>
                      <a:off x="0" y="0"/>
                      <a:ext cx="5259705" cy="7640320"/>
                    </a:xfrm>
                    <a:prstGeom prst="rect">
                      <a:avLst/>
                    </a:prstGeom>
                    <a:noFill/>
                    <a:ln w="12700">
                      <a:noFill/>
                    </a:ln>
                  </pic:spPr>
                </pic:pic>
              </a:graphicData>
            </a:graphic>
          </wp:inline>
        </w:drawing>
      </w:r>
      <w:r>
        <w:rPr>
          <w:color w:val="auto"/>
        </w:rPr>
        <w:drawing>
          <wp:inline distT="0" distB="0" distL="114300" distR="114300">
            <wp:extent cx="5219065" cy="7614285"/>
            <wp:effectExtent l="0" t="0" r="635" b="5715"/>
            <wp:docPr id="19" name="图片 14" descr="img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descr="img044"/>
                    <pic:cNvPicPr>
                      <a:picLocks noChangeAspect="1"/>
                    </pic:cNvPicPr>
                  </pic:nvPicPr>
                  <pic:blipFill>
                    <a:blip r:embed="rId35"/>
                    <a:srcRect l="12614" t="7757" r="5896" b="11720"/>
                    <a:stretch>
                      <a:fillRect/>
                    </a:stretch>
                  </pic:blipFill>
                  <pic:spPr>
                    <a:xfrm>
                      <a:off x="0" y="0"/>
                      <a:ext cx="5219065" cy="7614285"/>
                    </a:xfrm>
                    <a:prstGeom prst="rect">
                      <a:avLst/>
                    </a:prstGeom>
                    <a:noFill/>
                    <a:ln w="12700">
                      <a:noFill/>
                    </a:ln>
                  </pic:spPr>
                </pic:pic>
              </a:graphicData>
            </a:graphic>
          </wp:inline>
        </w:drawing>
      </w:r>
      <w:r>
        <w:rPr>
          <w:color w:val="auto"/>
        </w:rPr>
        <w:drawing>
          <wp:inline distT="0" distB="0" distL="114300" distR="114300">
            <wp:extent cx="5241925" cy="7553960"/>
            <wp:effectExtent l="0" t="0" r="15875" b="8890"/>
            <wp:docPr id="20" name="图片 15" descr="img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descr="img045"/>
                    <pic:cNvPicPr>
                      <a:picLocks noChangeAspect="1"/>
                    </pic:cNvPicPr>
                  </pic:nvPicPr>
                  <pic:blipFill>
                    <a:blip r:embed="rId36"/>
                    <a:srcRect l="10843" t="7576" r="6705" b="11281"/>
                    <a:stretch>
                      <a:fillRect/>
                    </a:stretch>
                  </pic:blipFill>
                  <pic:spPr>
                    <a:xfrm>
                      <a:off x="0" y="0"/>
                      <a:ext cx="5241925" cy="7553960"/>
                    </a:xfrm>
                    <a:prstGeom prst="rect">
                      <a:avLst/>
                    </a:prstGeom>
                    <a:noFill/>
                    <a:ln w="12700">
                      <a:noFill/>
                    </a:ln>
                  </pic:spPr>
                </pic:pic>
              </a:graphicData>
            </a:graphic>
          </wp:inline>
        </w:drawing>
      </w:r>
    </w:p>
    <w:p w14:paraId="7981C205">
      <w:pPr>
        <w:adjustRightInd w:val="0"/>
        <w:spacing w:line="360" w:lineRule="auto"/>
        <w:outlineLvl w:val="0"/>
        <w:rPr>
          <w:rFonts w:hint="eastAsia"/>
          <w:color w:val="auto"/>
          <w:sz w:val="24"/>
          <w:lang w:val="en-US" w:eastAsia="zh-CN"/>
        </w:rPr>
      </w:pPr>
      <w:r>
        <w:rPr>
          <w:rFonts w:hint="eastAsia"/>
          <w:color w:val="auto"/>
          <w:sz w:val="24"/>
          <w:lang w:eastAsia="zh-CN"/>
        </w:rPr>
        <w:t>附件</w:t>
      </w:r>
      <w:r>
        <w:rPr>
          <w:rFonts w:hint="eastAsia"/>
          <w:color w:val="auto"/>
          <w:sz w:val="24"/>
          <w:lang w:val="en-US" w:eastAsia="zh-CN"/>
        </w:rPr>
        <w:t>4：验收意见</w:t>
      </w:r>
    </w:p>
    <w:p w14:paraId="0259D399">
      <w:pPr>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drawing>
          <wp:inline distT="0" distB="0" distL="114300" distR="114300">
            <wp:extent cx="5238750" cy="7658100"/>
            <wp:effectExtent l="0" t="0" r="0" b="0"/>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icPr>
                  <pic:blipFill>
                    <a:blip r:embed="rId37"/>
                    <a:stretch>
                      <a:fillRect/>
                    </a:stretch>
                  </pic:blipFill>
                  <pic:spPr>
                    <a:xfrm>
                      <a:off x="0" y="0"/>
                      <a:ext cx="5238750" cy="7658100"/>
                    </a:xfrm>
                    <a:prstGeom prst="rect">
                      <a:avLst/>
                    </a:prstGeom>
                    <a:noFill/>
                    <a:ln w="12700">
                      <a:noFill/>
                    </a:ln>
                  </pic:spPr>
                </pic:pic>
              </a:graphicData>
            </a:graphic>
          </wp:inline>
        </w:drawing>
      </w:r>
      <w:r>
        <w:rPr>
          <w:color w:val="auto"/>
        </w:rPr>
        <w:drawing>
          <wp:inline distT="0" distB="0" distL="114300" distR="114300">
            <wp:extent cx="5273675" cy="7505065"/>
            <wp:effectExtent l="0" t="0" r="3175" b="635"/>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38"/>
                    <a:stretch>
                      <a:fillRect/>
                    </a:stretch>
                  </pic:blipFill>
                  <pic:spPr>
                    <a:xfrm>
                      <a:off x="0" y="0"/>
                      <a:ext cx="5273675" cy="7505065"/>
                    </a:xfrm>
                    <a:prstGeom prst="rect">
                      <a:avLst/>
                    </a:prstGeom>
                    <a:noFill/>
                    <a:ln w="12700">
                      <a:noFill/>
                    </a:ln>
                  </pic:spPr>
                </pic:pic>
              </a:graphicData>
            </a:graphic>
          </wp:inline>
        </w:drawing>
      </w:r>
      <w:r>
        <w:rPr>
          <w:color w:val="auto"/>
        </w:rPr>
        <w:drawing>
          <wp:inline distT="0" distB="0" distL="114300" distR="114300">
            <wp:extent cx="5272405" cy="7601585"/>
            <wp:effectExtent l="0" t="0" r="4445" b="18415"/>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pic:cNvPicPr>
                      <a:picLocks noChangeAspect="1"/>
                    </pic:cNvPicPr>
                  </pic:nvPicPr>
                  <pic:blipFill>
                    <a:blip r:embed="rId39"/>
                    <a:stretch>
                      <a:fillRect/>
                    </a:stretch>
                  </pic:blipFill>
                  <pic:spPr>
                    <a:xfrm>
                      <a:off x="0" y="0"/>
                      <a:ext cx="5272405" cy="7601585"/>
                    </a:xfrm>
                    <a:prstGeom prst="rect">
                      <a:avLst/>
                    </a:prstGeom>
                    <a:noFill/>
                    <a:ln w="12700">
                      <a:noFill/>
                    </a:ln>
                  </pic:spPr>
                </pic:pic>
              </a:graphicData>
            </a:graphic>
          </wp:inline>
        </w:drawing>
      </w:r>
      <w:r>
        <w:rPr>
          <w:color w:val="auto"/>
        </w:rPr>
        <w:drawing>
          <wp:inline distT="0" distB="0" distL="114300" distR="114300">
            <wp:extent cx="5271135" cy="7465060"/>
            <wp:effectExtent l="0" t="0" r="5715" b="2540"/>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pic:cNvPicPr>
                      <a:picLocks noChangeAspect="1"/>
                    </pic:cNvPicPr>
                  </pic:nvPicPr>
                  <pic:blipFill>
                    <a:blip r:embed="rId40"/>
                    <a:stretch>
                      <a:fillRect/>
                    </a:stretch>
                  </pic:blipFill>
                  <pic:spPr>
                    <a:xfrm>
                      <a:off x="0" y="0"/>
                      <a:ext cx="5271135" cy="7465060"/>
                    </a:xfrm>
                    <a:prstGeom prst="rect">
                      <a:avLst/>
                    </a:prstGeom>
                    <a:noFill/>
                    <a:ln w="12700">
                      <a:noFill/>
                    </a:ln>
                  </pic:spPr>
                </pic:pic>
              </a:graphicData>
            </a:graphic>
          </wp:inline>
        </w:drawing>
      </w:r>
      <w:r>
        <w:rPr>
          <w:color w:val="auto"/>
        </w:rPr>
        <w:drawing>
          <wp:inline distT="0" distB="0" distL="114300" distR="114300">
            <wp:extent cx="5269865" cy="7374255"/>
            <wp:effectExtent l="0" t="0" r="6985" b="1714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icPr>
                  <pic:blipFill>
                    <a:blip r:embed="rId41"/>
                    <a:stretch>
                      <a:fillRect/>
                    </a:stretch>
                  </pic:blipFill>
                  <pic:spPr>
                    <a:xfrm>
                      <a:off x="0" y="0"/>
                      <a:ext cx="5269865" cy="7374255"/>
                    </a:xfrm>
                    <a:prstGeom prst="rect">
                      <a:avLst/>
                    </a:prstGeom>
                    <a:noFill/>
                    <a:ln w="12700">
                      <a:noFill/>
                    </a:ln>
                  </pic:spPr>
                </pic:pic>
              </a:graphicData>
            </a:graphic>
          </wp:inline>
        </w:drawing>
      </w:r>
      <w:r>
        <w:rPr>
          <w:color w:val="auto"/>
        </w:rPr>
        <w:drawing>
          <wp:inline distT="0" distB="0" distL="114300" distR="114300">
            <wp:extent cx="5272405" cy="7434580"/>
            <wp:effectExtent l="0" t="0" r="4445" b="1397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pic:cNvPicPr>
                      <a:picLocks noChangeAspect="1"/>
                    </pic:cNvPicPr>
                  </pic:nvPicPr>
                  <pic:blipFill>
                    <a:blip r:embed="rId42"/>
                    <a:stretch>
                      <a:fillRect/>
                    </a:stretch>
                  </pic:blipFill>
                  <pic:spPr>
                    <a:xfrm>
                      <a:off x="0" y="0"/>
                      <a:ext cx="5272405" cy="7434580"/>
                    </a:xfrm>
                    <a:prstGeom prst="rect">
                      <a:avLst/>
                    </a:prstGeom>
                    <a:noFill/>
                    <a:ln w="12700">
                      <a:noFill/>
                    </a:ln>
                  </pic:spPr>
                </pic:pic>
              </a:graphicData>
            </a:graphic>
          </wp:inline>
        </w:drawing>
      </w:r>
      <w:r>
        <w:rPr>
          <w:color w:val="auto"/>
        </w:rPr>
        <w:drawing>
          <wp:inline distT="0" distB="0" distL="114300" distR="114300">
            <wp:extent cx="5273675" cy="7477760"/>
            <wp:effectExtent l="0" t="0" r="3175" b="8890"/>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pic:cNvPicPr>
                      <a:picLocks noChangeAspect="1"/>
                    </pic:cNvPicPr>
                  </pic:nvPicPr>
                  <pic:blipFill>
                    <a:blip r:embed="rId43"/>
                    <a:stretch>
                      <a:fillRect/>
                    </a:stretch>
                  </pic:blipFill>
                  <pic:spPr>
                    <a:xfrm>
                      <a:off x="0" y="0"/>
                      <a:ext cx="5273675" cy="7477760"/>
                    </a:xfrm>
                    <a:prstGeom prst="rect">
                      <a:avLst/>
                    </a:prstGeom>
                    <a:noFill/>
                    <a:ln w="12700">
                      <a:noFill/>
                    </a:ln>
                  </pic:spPr>
                </pic:pic>
              </a:graphicData>
            </a:graphic>
          </wp:inline>
        </w:drawing>
      </w:r>
      <w:r>
        <w:rPr>
          <w:color w:val="auto"/>
        </w:rPr>
        <w:drawing>
          <wp:inline distT="0" distB="0" distL="114300" distR="114300">
            <wp:extent cx="5269865" cy="6671945"/>
            <wp:effectExtent l="0" t="0" r="6985" b="14605"/>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icPr>
                  <pic:blipFill>
                    <a:blip r:embed="rId44"/>
                    <a:stretch>
                      <a:fillRect/>
                    </a:stretch>
                  </pic:blipFill>
                  <pic:spPr>
                    <a:xfrm>
                      <a:off x="0" y="0"/>
                      <a:ext cx="5269865" cy="6671945"/>
                    </a:xfrm>
                    <a:prstGeom prst="rect">
                      <a:avLst/>
                    </a:prstGeom>
                    <a:noFill/>
                    <a:ln w="12700">
                      <a:noFill/>
                    </a:ln>
                  </pic:spPr>
                </pic:pic>
              </a:graphicData>
            </a:graphic>
          </wp:inline>
        </w:drawing>
      </w:r>
      <w:r>
        <w:rPr>
          <w:color w:val="auto"/>
        </w:rPr>
        <w:drawing>
          <wp:inline distT="0" distB="0" distL="114300" distR="114300">
            <wp:extent cx="5272405" cy="7451090"/>
            <wp:effectExtent l="0" t="0" r="4445" b="16510"/>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icPr>
                  <pic:blipFill>
                    <a:blip r:embed="rId45"/>
                    <a:stretch>
                      <a:fillRect/>
                    </a:stretch>
                  </pic:blipFill>
                  <pic:spPr>
                    <a:xfrm>
                      <a:off x="0" y="0"/>
                      <a:ext cx="5272405" cy="7451090"/>
                    </a:xfrm>
                    <a:prstGeom prst="rect">
                      <a:avLst/>
                    </a:prstGeom>
                    <a:noFill/>
                    <a:ln w="12700">
                      <a:noFill/>
                    </a:ln>
                  </pic:spPr>
                </pic:pic>
              </a:graphicData>
            </a:graphic>
          </wp:inline>
        </w:drawing>
      </w:r>
      <w:r>
        <w:rPr>
          <w:color w:val="auto"/>
        </w:rPr>
        <w:drawing>
          <wp:inline distT="0" distB="0" distL="114300" distR="114300">
            <wp:extent cx="5272405" cy="7503160"/>
            <wp:effectExtent l="0" t="0" r="4445" b="2540"/>
            <wp:docPr id="3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5"/>
                    <pic:cNvPicPr>
                      <a:picLocks noChangeAspect="1"/>
                    </pic:cNvPicPr>
                  </pic:nvPicPr>
                  <pic:blipFill>
                    <a:blip r:embed="rId46"/>
                    <a:stretch>
                      <a:fillRect/>
                    </a:stretch>
                  </pic:blipFill>
                  <pic:spPr>
                    <a:xfrm>
                      <a:off x="0" y="0"/>
                      <a:ext cx="5272405" cy="7503160"/>
                    </a:xfrm>
                    <a:prstGeom prst="rect">
                      <a:avLst/>
                    </a:prstGeom>
                    <a:noFill/>
                    <a:ln w="12700">
                      <a:noFill/>
                    </a:ln>
                  </pic:spPr>
                </pic:pic>
              </a:graphicData>
            </a:graphic>
          </wp:inline>
        </w:drawing>
      </w:r>
      <w:r>
        <w:rPr>
          <w:color w:val="auto"/>
        </w:rPr>
        <w:drawing>
          <wp:inline distT="0" distB="0" distL="114300" distR="114300">
            <wp:extent cx="5105400" cy="7391400"/>
            <wp:effectExtent l="0" t="0" r="0" b="0"/>
            <wp:docPr id="3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pic:cNvPicPr>
                      <a:picLocks noChangeAspect="1"/>
                    </pic:cNvPicPr>
                  </pic:nvPicPr>
                  <pic:blipFill>
                    <a:blip r:embed="rId47"/>
                    <a:stretch>
                      <a:fillRect/>
                    </a:stretch>
                  </pic:blipFill>
                  <pic:spPr>
                    <a:xfrm>
                      <a:off x="0" y="0"/>
                      <a:ext cx="5105400" cy="7391400"/>
                    </a:xfrm>
                    <a:prstGeom prst="rect">
                      <a:avLst/>
                    </a:prstGeom>
                    <a:noFill/>
                    <a:ln w="12700">
                      <a:noFill/>
                    </a:ln>
                  </pic:spPr>
                </pic:pic>
              </a:graphicData>
            </a:graphic>
          </wp:inline>
        </w:drawing>
      </w:r>
      <w:r>
        <w:rPr>
          <w:color w:val="auto"/>
        </w:rPr>
        <w:drawing>
          <wp:inline distT="0" distB="0" distL="114300" distR="114300">
            <wp:extent cx="5270500" cy="7720330"/>
            <wp:effectExtent l="0" t="0" r="6350" b="13970"/>
            <wp:docPr id="3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7"/>
                    <pic:cNvPicPr>
                      <a:picLocks noChangeAspect="1"/>
                    </pic:cNvPicPr>
                  </pic:nvPicPr>
                  <pic:blipFill>
                    <a:blip r:embed="rId48"/>
                    <a:stretch>
                      <a:fillRect/>
                    </a:stretch>
                  </pic:blipFill>
                  <pic:spPr>
                    <a:xfrm>
                      <a:off x="0" y="0"/>
                      <a:ext cx="5270500" cy="7720330"/>
                    </a:xfrm>
                    <a:prstGeom prst="rect">
                      <a:avLst/>
                    </a:prstGeom>
                    <a:noFill/>
                    <a:ln w="12700">
                      <a:noFill/>
                    </a:ln>
                  </pic:spPr>
                </pic:pic>
              </a:graphicData>
            </a:graphic>
          </wp:inline>
        </w:drawing>
      </w:r>
      <w:r>
        <w:rPr>
          <w:color w:val="auto"/>
        </w:rPr>
        <w:drawing>
          <wp:inline distT="0" distB="0" distL="114300" distR="114300">
            <wp:extent cx="5271135" cy="7490460"/>
            <wp:effectExtent l="0" t="0" r="5715" b="15240"/>
            <wp:docPr id="3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8"/>
                    <pic:cNvPicPr>
                      <a:picLocks noChangeAspect="1"/>
                    </pic:cNvPicPr>
                  </pic:nvPicPr>
                  <pic:blipFill>
                    <a:blip r:embed="rId49"/>
                    <a:stretch>
                      <a:fillRect/>
                    </a:stretch>
                  </pic:blipFill>
                  <pic:spPr>
                    <a:xfrm>
                      <a:off x="0" y="0"/>
                      <a:ext cx="5271135" cy="7490460"/>
                    </a:xfrm>
                    <a:prstGeom prst="rect">
                      <a:avLst/>
                    </a:prstGeom>
                    <a:noFill/>
                    <a:ln w="12700">
                      <a:noFill/>
                    </a:ln>
                  </pic:spPr>
                </pic:pic>
              </a:graphicData>
            </a:graphic>
          </wp:inline>
        </w:drawing>
      </w:r>
      <w:r>
        <w:rPr>
          <w:color w:val="auto"/>
        </w:rPr>
        <w:drawing>
          <wp:inline distT="0" distB="0" distL="114300" distR="114300">
            <wp:extent cx="5269865" cy="7439025"/>
            <wp:effectExtent l="0" t="0" r="6985" b="9525"/>
            <wp:docPr id="3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9"/>
                    <pic:cNvPicPr>
                      <a:picLocks noChangeAspect="1"/>
                    </pic:cNvPicPr>
                  </pic:nvPicPr>
                  <pic:blipFill>
                    <a:blip r:embed="rId50"/>
                    <a:stretch>
                      <a:fillRect/>
                    </a:stretch>
                  </pic:blipFill>
                  <pic:spPr>
                    <a:xfrm>
                      <a:off x="0" y="0"/>
                      <a:ext cx="5269865" cy="7439025"/>
                    </a:xfrm>
                    <a:prstGeom prst="rect">
                      <a:avLst/>
                    </a:prstGeom>
                    <a:noFill/>
                    <a:ln w="12700">
                      <a:noFill/>
                    </a:ln>
                  </pic:spPr>
                </pic:pic>
              </a:graphicData>
            </a:graphic>
          </wp:inline>
        </w:drawing>
      </w:r>
      <w:r>
        <w:rPr>
          <w:color w:val="auto"/>
        </w:rPr>
        <w:drawing>
          <wp:inline distT="0" distB="0" distL="114300" distR="114300">
            <wp:extent cx="5273675" cy="7423785"/>
            <wp:effectExtent l="0" t="0" r="3175" b="5715"/>
            <wp:docPr id="3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pic:cNvPicPr>
                      <a:picLocks noChangeAspect="1"/>
                    </pic:cNvPicPr>
                  </pic:nvPicPr>
                  <pic:blipFill>
                    <a:blip r:embed="rId51"/>
                    <a:stretch>
                      <a:fillRect/>
                    </a:stretch>
                  </pic:blipFill>
                  <pic:spPr>
                    <a:xfrm>
                      <a:off x="0" y="0"/>
                      <a:ext cx="5273675" cy="7423785"/>
                    </a:xfrm>
                    <a:prstGeom prst="rect">
                      <a:avLst/>
                    </a:prstGeom>
                    <a:noFill/>
                    <a:ln w="12700">
                      <a:noFill/>
                    </a:ln>
                  </pic:spPr>
                </pic:pic>
              </a:graphicData>
            </a:graphic>
          </wp:inline>
        </w:drawing>
      </w:r>
      <w:r>
        <w:rPr>
          <w:color w:val="auto"/>
        </w:rPr>
        <w:drawing>
          <wp:inline distT="0" distB="0" distL="114300" distR="114300">
            <wp:extent cx="5272405" cy="7471410"/>
            <wp:effectExtent l="0" t="0" r="4445" b="15240"/>
            <wp:docPr id="3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pic:cNvPicPr>
                      <a:picLocks noChangeAspect="1"/>
                    </pic:cNvPicPr>
                  </pic:nvPicPr>
                  <pic:blipFill>
                    <a:blip r:embed="rId52"/>
                    <a:stretch>
                      <a:fillRect/>
                    </a:stretch>
                  </pic:blipFill>
                  <pic:spPr>
                    <a:xfrm>
                      <a:off x="0" y="0"/>
                      <a:ext cx="5272405" cy="7471410"/>
                    </a:xfrm>
                    <a:prstGeom prst="rect">
                      <a:avLst/>
                    </a:prstGeom>
                    <a:noFill/>
                    <a:ln w="12700">
                      <a:noFill/>
                    </a:ln>
                  </pic:spPr>
                </pic:pic>
              </a:graphicData>
            </a:graphic>
          </wp:inline>
        </w:drawing>
      </w:r>
    </w:p>
    <w:p w14:paraId="08BB1AC5">
      <w:pPr>
        <w:adjustRightInd w:val="0"/>
        <w:spacing w:line="360" w:lineRule="auto"/>
        <w:outlineLvl w:val="0"/>
        <w:rPr>
          <w:rFonts w:hint="eastAsia"/>
          <w:color w:val="auto"/>
          <w:sz w:val="24"/>
          <w:lang w:val="en-US" w:eastAsia="zh-CN"/>
        </w:rPr>
      </w:pPr>
      <w:r>
        <w:rPr>
          <w:rFonts w:hint="eastAsia"/>
          <w:color w:val="auto"/>
          <w:sz w:val="24"/>
          <w:lang w:eastAsia="zh-CN"/>
        </w:rPr>
        <w:t>附件</w:t>
      </w:r>
      <w:r>
        <w:rPr>
          <w:rFonts w:hint="eastAsia"/>
          <w:color w:val="auto"/>
          <w:sz w:val="24"/>
          <w:lang w:val="en-US" w:eastAsia="zh-CN"/>
        </w:rPr>
        <w:t>5：采矿许可证</w:t>
      </w:r>
    </w:p>
    <w:p w14:paraId="164442E0">
      <w:pPr>
        <w:pStyle w:val="17"/>
        <w:ind w:left="0" w:leftChars="0" w:firstLine="0" w:firstLineChars="0"/>
        <w:rPr>
          <w:color w:val="auto"/>
        </w:rPr>
      </w:pPr>
      <w:r>
        <w:rPr>
          <w:color w:val="auto"/>
        </w:rPr>
        <w:drawing>
          <wp:inline distT="0" distB="0" distL="114300" distR="114300">
            <wp:extent cx="5266055" cy="3721735"/>
            <wp:effectExtent l="0" t="0" r="10795" b="12065"/>
            <wp:docPr id="3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3"/>
                    <pic:cNvPicPr>
                      <a:picLocks noChangeAspect="1"/>
                    </pic:cNvPicPr>
                  </pic:nvPicPr>
                  <pic:blipFill>
                    <a:blip r:embed="rId53"/>
                    <a:stretch>
                      <a:fillRect/>
                    </a:stretch>
                  </pic:blipFill>
                  <pic:spPr>
                    <a:xfrm>
                      <a:off x="0" y="0"/>
                      <a:ext cx="5266055" cy="3721735"/>
                    </a:xfrm>
                    <a:prstGeom prst="rect">
                      <a:avLst/>
                    </a:prstGeom>
                    <a:noFill/>
                    <a:ln w="12700">
                      <a:noFill/>
                    </a:ln>
                  </pic:spPr>
                </pic:pic>
              </a:graphicData>
            </a:graphic>
          </wp:inline>
        </w:drawing>
      </w:r>
    </w:p>
    <w:p w14:paraId="580805CC">
      <w:pPr>
        <w:bidi w:val="0"/>
        <w:rPr>
          <w:color w:val="auto"/>
        </w:rPr>
      </w:pPr>
    </w:p>
    <w:p w14:paraId="6FE9F7B5">
      <w:pPr>
        <w:bidi w:val="0"/>
        <w:rPr>
          <w:color w:val="auto"/>
        </w:rPr>
      </w:pPr>
    </w:p>
    <w:p w14:paraId="53983224">
      <w:pPr>
        <w:bidi w:val="0"/>
        <w:rPr>
          <w:color w:val="auto"/>
        </w:rPr>
      </w:pPr>
    </w:p>
    <w:p w14:paraId="67F6B1FD">
      <w:pPr>
        <w:bidi w:val="0"/>
        <w:rPr>
          <w:color w:val="auto"/>
        </w:rPr>
      </w:pPr>
    </w:p>
    <w:p w14:paraId="601F8F87">
      <w:pPr>
        <w:bidi w:val="0"/>
        <w:rPr>
          <w:color w:val="auto"/>
        </w:rPr>
      </w:pPr>
    </w:p>
    <w:p w14:paraId="48AA834B">
      <w:pPr>
        <w:bidi w:val="0"/>
        <w:rPr>
          <w:color w:val="auto"/>
        </w:rPr>
      </w:pPr>
    </w:p>
    <w:p w14:paraId="74B5F801">
      <w:pPr>
        <w:bidi w:val="0"/>
        <w:rPr>
          <w:color w:val="auto"/>
        </w:rPr>
      </w:pPr>
    </w:p>
    <w:p w14:paraId="17759164">
      <w:pPr>
        <w:bidi w:val="0"/>
        <w:rPr>
          <w:color w:val="auto"/>
        </w:rPr>
      </w:pPr>
    </w:p>
    <w:p w14:paraId="4EDE768C">
      <w:pPr>
        <w:bidi w:val="0"/>
        <w:rPr>
          <w:color w:val="auto"/>
        </w:rPr>
      </w:pPr>
    </w:p>
    <w:p w14:paraId="5B5345CA">
      <w:pPr>
        <w:bidi w:val="0"/>
        <w:rPr>
          <w:color w:val="auto"/>
        </w:rPr>
      </w:pPr>
    </w:p>
    <w:p w14:paraId="443ABC84">
      <w:pPr>
        <w:bidi w:val="0"/>
        <w:rPr>
          <w:color w:val="auto"/>
        </w:rPr>
      </w:pPr>
    </w:p>
    <w:p w14:paraId="46D9840C">
      <w:pPr>
        <w:bidi w:val="0"/>
        <w:rPr>
          <w:color w:val="auto"/>
        </w:rPr>
      </w:pPr>
    </w:p>
    <w:p w14:paraId="587868B7">
      <w:pPr>
        <w:bidi w:val="0"/>
        <w:rPr>
          <w:color w:val="auto"/>
        </w:rPr>
      </w:pPr>
    </w:p>
    <w:p w14:paraId="54A2F840">
      <w:pPr>
        <w:bidi w:val="0"/>
        <w:rPr>
          <w:color w:val="auto"/>
        </w:rPr>
      </w:pPr>
    </w:p>
    <w:p w14:paraId="7E85D23A">
      <w:pPr>
        <w:bidi w:val="0"/>
        <w:rPr>
          <w:color w:val="auto"/>
        </w:rPr>
      </w:pPr>
    </w:p>
    <w:p w14:paraId="4D1A50D6">
      <w:pPr>
        <w:bidi w:val="0"/>
        <w:rPr>
          <w:color w:val="auto"/>
        </w:rPr>
      </w:pPr>
    </w:p>
    <w:p w14:paraId="71DAF8D1">
      <w:pPr>
        <w:bidi w:val="0"/>
        <w:rPr>
          <w:color w:val="auto"/>
        </w:rPr>
      </w:pPr>
    </w:p>
    <w:p w14:paraId="39BB9BEA">
      <w:pPr>
        <w:bidi w:val="0"/>
        <w:rPr>
          <w:color w:val="auto"/>
        </w:rPr>
      </w:pPr>
    </w:p>
    <w:p w14:paraId="4718E9A5">
      <w:pPr>
        <w:bidi w:val="0"/>
        <w:rPr>
          <w:color w:val="auto"/>
        </w:rPr>
      </w:pPr>
    </w:p>
    <w:p w14:paraId="4E0B4567">
      <w:pPr>
        <w:bidi w:val="0"/>
        <w:rPr>
          <w:color w:val="auto"/>
        </w:rPr>
      </w:pPr>
    </w:p>
    <w:p w14:paraId="06A8FCE5">
      <w:pPr>
        <w:bidi w:val="0"/>
        <w:rPr>
          <w:color w:val="auto"/>
        </w:rPr>
      </w:pPr>
    </w:p>
    <w:p w14:paraId="34F66D81">
      <w:pPr>
        <w:bidi w:val="0"/>
        <w:rPr>
          <w:color w:val="auto"/>
        </w:rPr>
      </w:pPr>
    </w:p>
    <w:p w14:paraId="7B266AE7">
      <w:pPr>
        <w:bidi w:val="0"/>
        <w:rPr>
          <w:color w:val="auto"/>
        </w:rPr>
      </w:pPr>
    </w:p>
    <w:p w14:paraId="38BB038D">
      <w:pPr>
        <w:adjustRightInd w:val="0"/>
        <w:spacing w:line="360" w:lineRule="auto"/>
        <w:outlineLvl w:val="0"/>
        <w:rPr>
          <w:rFonts w:hint="eastAsia"/>
          <w:color w:val="auto"/>
          <w:sz w:val="24"/>
          <w:lang w:val="en-US" w:eastAsia="zh-CN"/>
        </w:rPr>
      </w:pPr>
      <w:r>
        <w:rPr>
          <w:rFonts w:hint="eastAsia"/>
          <w:color w:val="auto"/>
          <w:sz w:val="24"/>
          <w:lang w:val="en-US" w:eastAsia="zh-CN"/>
        </w:rPr>
        <w:t>附件6 监测报告</w:t>
      </w:r>
    </w:p>
    <w:p w14:paraId="7AA3991E">
      <w:pPr>
        <w:jc w:val="center"/>
        <w:rPr>
          <w:color w:val="auto"/>
        </w:rPr>
      </w:pPr>
      <w:r>
        <w:rPr>
          <w:color w:val="auto"/>
        </w:rPr>
        <w:drawing>
          <wp:inline distT="0" distB="0" distL="114300" distR="114300">
            <wp:extent cx="5165725" cy="7347585"/>
            <wp:effectExtent l="0" t="0" r="15875" b="5715"/>
            <wp:docPr id="3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
                    <pic:cNvPicPr>
                      <a:picLocks noChangeAspect="1"/>
                    </pic:cNvPicPr>
                  </pic:nvPicPr>
                  <pic:blipFill>
                    <a:blip r:embed="rId54"/>
                    <a:stretch>
                      <a:fillRect/>
                    </a:stretch>
                  </pic:blipFill>
                  <pic:spPr>
                    <a:xfrm>
                      <a:off x="0" y="0"/>
                      <a:ext cx="5165725" cy="7347585"/>
                    </a:xfrm>
                    <a:prstGeom prst="rect">
                      <a:avLst/>
                    </a:prstGeom>
                    <a:noFill/>
                    <a:ln w="12700">
                      <a:noFill/>
                    </a:ln>
                  </pic:spPr>
                </pic:pic>
              </a:graphicData>
            </a:graphic>
          </wp:inline>
        </w:drawing>
      </w:r>
    </w:p>
    <w:p w14:paraId="195CC441">
      <w:pPr>
        <w:pStyle w:val="5"/>
        <w:rPr>
          <w:rFonts w:hint="default"/>
          <w:color w:val="auto"/>
          <w:lang w:val="en-US" w:eastAsia="zh-CN"/>
        </w:rPr>
      </w:pPr>
    </w:p>
    <w:p w14:paraId="2CA58C38">
      <w:pPr>
        <w:bidi w:val="0"/>
        <w:rPr>
          <w:color w:val="auto"/>
        </w:rPr>
      </w:pPr>
    </w:p>
    <w:p w14:paraId="39B5C862">
      <w:pPr>
        <w:jc w:val="center"/>
        <w:rPr>
          <w:color w:val="auto"/>
        </w:rPr>
      </w:pPr>
      <w:r>
        <w:rPr>
          <w:color w:val="auto"/>
        </w:rPr>
        <w:drawing>
          <wp:inline distT="0" distB="0" distL="114300" distR="114300">
            <wp:extent cx="5286375" cy="7449820"/>
            <wp:effectExtent l="0" t="0" r="9525" b="1778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pic:cNvPicPr>
                      <a:picLocks noChangeAspect="1"/>
                    </pic:cNvPicPr>
                  </pic:nvPicPr>
                  <pic:blipFill>
                    <a:blip r:embed="rId55"/>
                    <a:stretch>
                      <a:fillRect/>
                    </a:stretch>
                  </pic:blipFill>
                  <pic:spPr>
                    <a:xfrm>
                      <a:off x="0" y="0"/>
                      <a:ext cx="5286375" cy="7449820"/>
                    </a:xfrm>
                    <a:prstGeom prst="rect">
                      <a:avLst/>
                    </a:prstGeom>
                    <a:noFill/>
                    <a:ln w="12700">
                      <a:noFill/>
                    </a:ln>
                  </pic:spPr>
                </pic:pic>
              </a:graphicData>
            </a:graphic>
          </wp:inline>
        </w:drawing>
      </w:r>
    </w:p>
    <w:p w14:paraId="1CA1DAAE">
      <w:pPr>
        <w:pStyle w:val="5"/>
        <w:rPr>
          <w:color w:val="auto"/>
        </w:rPr>
      </w:pPr>
    </w:p>
    <w:p w14:paraId="567B7E6B">
      <w:pPr>
        <w:jc w:val="center"/>
        <w:rPr>
          <w:color w:val="auto"/>
        </w:rPr>
      </w:pPr>
      <w:r>
        <w:rPr>
          <w:color w:val="auto"/>
        </w:rPr>
        <w:drawing>
          <wp:inline distT="0" distB="0" distL="114300" distR="114300">
            <wp:extent cx="5107940" cy="7209790"/>
            <wp:effectExtent l="0" t="0" r="16510" b="10160"/>
            <wp:docPr id="4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7"/>
                    <pic:cNvPicPr>
                      <a:picLocks noChangeAspect="1"/>
                    </pic:cNvPicPr>
                  </pic:nvPicPr>
                  <pic:blipFill>
                    <a:blip r:embed="rId56"/>
                    <a:stretch>
                      <a:fillRect/>
                    </a:stretch>
                  </pic:blipFill>
                  <pic:spPr>
                    <a:xfrm>
                      <a:off x="0" y="0"/>
                      <a:ext cx="5107940" cy="7209790"/>
                    </a:xfrm>
                    <a:prstGeom prst="rect">
                      <a:avLst/>
                    </a:prstGeom>
                    <a:noFill/>
                    <a:ln w="12700">
                      <a:noFill/>
                    </a:ln>
                  </pic:spPr>
                </pic:pic>
              </a:graphicData>
            </a:graphic>
          </wp:inline>
        </w:drawing>
      </w:r>
    </w:p>
    <w:p w14:paraId="5E8A9020">
      <w:pPr>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drawing>
          <wp:inline distT="0" distB="0" distL="114300" distR="114300">
            <wp:extent cx="5357495" cy="7528560"/>
            <wp:effectExtent l="0" t="0" r="14605" b="15240"/>
            <wp:docPr id="4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8"/>
                    <pic:cNvPicPr>
                      <a:picLocks noChangeAspect="1"/>
                    </pic:cNvPicPr>
                  </pic:nvPicPr>
                  <pic:blipFill>
                    <a:blip r:embed="rId57"/>
                    <a:stretch>
                      <a:fillRect/>
                    </a:stretch>
                  </pic:blipFill>
                  <pic:spPr>
                    <a:xfrm>
                      <a:off x="0" y="0"/>
                      <a:ext cx="5357495" cy="7528560"/>
                    </a:xfrm>
                    <a:prstGeom prst="rect">
                      <a:avLst/>
                    </a:prstGeom>
                    <a:noFill/>
                    <a:ln w="12700">
                      <a:noFill/>
                    </a:ln>
                  </pic:spPr>
                </pic:pic>
              </a:graphicData>
            </a:graphic>
          </wp:inline>
        </w:drawing>
      </w:r>
    </w:p>
    <w:p w14:paraId="2ED95389">
      <w:pPr>
        <w:adjustRightInd w:val="0"/>
        <w:spacing w:line="360" w:lineRule="auto"/>
        <w:outlineLvl w:val="0"/>
        <w:rPr>
          <w:rFonts w:hint="eastAsia"/>
          <w:color w:val="auto"/>
          <w:sz w:val="24"/>
          <w:lang w:val="en-US" w:eastAsia="zh-CN"/>
        </w:rPr>
      </w:pPr>
      <w:r>
        <w:rPr>
          <w:rFonts w:hint="eastAsia"/>
          <w:color w:val="auto"/>
          <w:sz w:val="24"/>
          <w:lang w:eastAsia="zh-CN"/>
        </w:rPr>
        <w:t>附件</w:t>
      </w:r>
      <w:r>
        <w:rPr>
          <w:rFonts w:hint="eastAsia"/>
          <w:color w:val="auto"/>
          <w:sz w:val="24"/>
          <w:lang w:val="en-US" w:eastAsia="zh-CN"/>
        </w:rPr>
        <w:t>7：渣土协议</w:t>
      </w:r>
    </w:p>
    <w:p w14:paraId="7C3F5AF3">
      <w:pPr>
        <w:jc w:val="center"/>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drawing>
          <wp:inline distT="0" distB="0" distL="114300" distR="114300">
            <wp:extent cx="5273675" cy="7212965"/>
            <wp:effectExtent l="0" t="0" r="3175" b="6985"/>
            <wp:docPr id="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
                    <pic:cNvPicPr>
                      <a:picLocks noChangeAspect="1"/>
                    </pic:cNvPicPr>
                  </pic:nvPicPr>
                  <pic:blipFill>
                    <a:blip r:embed="rId58"/>
                    <a:stretch>
                      <a:fillRect/>
                    </a:stretch>
                  </pic:blipFill>
                  <pic:spPr>
                    <a:xfrm>
                      <a:off x="0" y="0"/>
                      <a:ext cx="5273675" cy="7212965"/>
                    </a:xfrm>
                    <a:prstGeom prst="rect">
                      <a:avLst/>
                    </a:prstGeom>
                    <a:noFill/>
                    <a:ln>
                      <a:noFill/>
                    </a:ln>
                  </pic:spPr>
                </pic:pic>
              </a:graphicData>
            </a:graphic>
          </wp:inline>
        </w:drawing>
      </w:r>
      <w:r>
        <w:rPr>
          <w:color w:val="auto"/>
        </w:rPr>
        <w:drawing>
          <wp:inline distT="0" distB="0" distL="114300" distR="114300">
            <wp:extent cx="5267960" cy="5997575"/>
            <wp:effectExtent l="0" t="0" r="8890" b="3175"/>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
                    <pic:cNvPicPr>
                      <a:picLocks noChangeAspect="1"/>
                    </pic:cNvPicPr>
                  </pic:nvPicPr>
                  <pic:blipFill>
                    <a:blip r:embed="rId59"/>
                    <a:stretch>
                      <a:fillRect/>
                    </a:stretch>
                  </pic:blipFill>
                  <pic:spPr>
                    <a:xfrm>
                      <a:off x="0" y="0"/>
                      <a:ext cx="5267960" cy="5997575"/>
                    </a:xfrm>
                    <a:prstGeom prst="rect">
                      <a:avLst/>
                    </a:prstGeom>
                    <a:noFill/>
                    <a:ln>
                      <a:noFill/>
                    </a:ln>
                  </pic:spPr>
                </pic:pic>
              </a:graphicData>
            </a:graphic>
          </wp:inline>
        </w:drawing>
      </w:r>
    </w:p>
    <w:p w14:paraId="057C5BDB">
      <w:pPr>
        <w:adjustRightInd w:val="0"/>
        <w:spacing w:line="360" w:lineRule="auto"/>
        <w:outlineLvl w:val="0"/>
        <w:rPr>
          <w:rFonts w:hint="eastAsia"/>
          <w:color w:val="auto"/>
          <w:sz w:val="24"/>
          <w:lang w:val="en-US" w:eastAsia="zh-CN"/>
        </w:rPr>
      </w:pPr>
      <w:r>
        <w:rPr>
          <w:rFonts w:hint="eastAsia"/>
          <w:color w:val="auto"/>
          <w:sz w:val="24"/>
          <w:lang w:val="en-US" w:eastAsia="zh-CN"/>
        </w:rPr>
        <w:t>附件8：生活垃圾处置协议</w:t>
      </w:r>
    </w:p>
    <w:p w14:paraId="6B176445">
      <w:pPr>
        <w:jc w:val="center"/>
        <w:rPr>
          <w:rFonts w:hint="default"/>
          <w:color w:val="auto"/>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drawing>
          <wp:inline distT="0" distB="0" distL="114300" distR="114300">
            <wp:extent cx="5274310" cy="7473315"/>
            <wp:effectExtent l="0" t="0" r="2540" b="13335"/>
            <wp:docPr id="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
                    <pic:cNvPicPr>
                      <a:picLocks noChangeAspect="1"/>
                    </pic:cNvPicPr>
                  </pic:nvPicPr>
                  <pic:blipFill>
                    <a:blip r:embed="rId60"/>
                    <a:stretch>
                      <a:fillRect/>
                    </a:stretch>
                  </pic:blipFill>
                  <pic:spPr>
                    <a:xfrm>
                      <a:off x="0" y="0"/>
                      <a:ext cx="5274310" cy="7473315"/>
                    </a:xfrm>
                    <a:prstGeom prst="rect">
                      <a:avLst/>
                    </a:prstGeom>
                    <a:noFill/>
                    <a:ln>
                      <a:noFill/>
                    </a:ln>
                  </pic:spPr>
                </pic:pic>
              </a:graphicData>
            </a:graphic>
          </wp:inline>
        </w:drawing>
      </w:r>
      <w:r>
        <w:rPr>
          <w:color w:val="auto"/>
        </w:rPr>
        <w:drawing>
          <wp:inline distT="0" distB="0" distL="114300" distR="114300">
            <wp:extent cx="5270500" cy="7414895"/>
            <wp:effectExtent l="0" t="0" r="6350" b="14605"/>
            <wp:docPr id="5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
                    <pic:cNvPicPr>
                      <a:picLocks noChangeAspect="1"/>
                    </pic:cNvPicPr>
                  </pic:nvPicPr>
                  <pic:blipFill>
                    <a:blip r:embed="rId61"/>
                    <a:stretch>
                      <a:fillRect/>
                    </a:stretch>
                  </pic:blipFill>
                  <pic:spPr>
                    <a:xfrm>
                      <a:off x="0" y="0"/>
                      <a:ext cx="5270500" cy="7414895"/>
                    </a:xfrm>
                    <a:prstGeom prst="rect">
                      <a:avLst/>
                    </a:prstGeom>
                    <a:noFill/>
                    <a:ln>
                      <a:noFill/>
                    </a:ln>
                  </pic:spPr>
                </pic:pic>
              </a:graphicData>
            </a:graphic>
          </wp:inline>
        </w:drawing>
      </w:r>
      <w:r>
        <w:rPr>
          <w:color w:val="auto"/>
        </w:rPr>
        <w:drawing>
          <wp:inline distT="0" distB="0" distL="114300" distR="114300">
            <wp:extent cx="5274310" cy="7226935"/>
            <wp:effectExtent l="0" t="0" r="2540" b="12065"/>
            <wp:docPr id="5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
                    <pic:cNvPicPr>
                      <a:picLocks noChangeAspect="1"/>
                    </pic:cNvPicPr>
                  </pic:nvPicPr>
                  <pic:blipFill>
                    <a:blip r:embed="rId62"/>
                    <a:stretch>
                      <a:fillRect/>
                    </a:stretch>
                  </pic:blipFill>
                  <pic:spPr>
                    <a:xfrm>
                      <a:off x="0" y="0"/>
                      <a:ext cx="5274310" cy="7226935"/>
                    </a:xfrm>
                    <a:prstGeom prst="rect">
                      <a:avLst/>
                    </a:prstGeom>
                    <a:noFill/>
                    <a:ln>
                      <a:noFill/>
                    </a:ln>
                  </pic:spPr>
                </pic:pic>
              </a:graphicData>
            </a:graphic>
          </wp:inline>
        </w:drawing>
      </w:r>
      <w:r>
        <w:rPr>
          <w:color w:val="auto"/>
        </w:rPr>
        <w:drawing>
          <wp:inline distT="0" distB="0" distL="114300" distR="114300">
            <wp:extent cx="5273675" cy="7449820"/>
            <wp:effectExtent l="0" t="0" r="3175" b="17780"/>
            <wp:docPr id="6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
                    <pic:cNvPicPr>
                      <a:picLocks noChangeAspect="1"/>
                    </pic:cNvPicPr>
                  </pic:nvPicPr>
                  <pic:blipFill>
                    <a:blip r:embed="rId63"/>
                    <a:stretch>
                      <a:fillRect/>
                    </a:stretch>
                  </pic:blipFill>
                  <pic:spPr>
                    <a:xfrm>
                      <a:off x="0" y="0"/>
                      <a:ext cx="5273675" cy="7449820"/>
                    </a:xfrm>
                    <a:prstGeom prst="rect">
                      <a:avLst/>
                    </a:prstGeom>
                    <a:noFill/>
                    <a:ln>
                      <a:noFill/>
                    </a:ln>
                  </pic:spPr>
                </pic:pic>
              </a:graphicData>
            </a:graphic>
          </wp:inline>
        </w:drawing>
      </w:r>
      <w:r>
        <w:rPr>
          <w:color w:val="auto"/>
        </w:rPr>
        <w:drawing>
          <wp:inline distT="0" distB="0" distL="114300" distR="114300">
            <wp:extent cx="5270500" cy="7263130"/>
            <wp:effectExtent l="0" t="0" r="6350" b="13970"/>
            <wp:docPr id="6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7"/>
                    <pic:cNvPicPr>
                      <a:picLocks noChangeAspect="1"/>
                    </pic:cNvPicPr>
                  </pic:nvPicPr>
                  <pic:blipFill>
                    <a:blip r:embed="rId64"/>
                    <a:stretch>
                      <a:fillRect/>
                    </a:stretch>
                  </pic:blipFill>
                  <pic:spPr>
                    <a:xfrm>
                      <a:off x="0" y="0"/>
                      <a:ext cx="5270500" cy="7263130"/>
                    </a:xfrm>
                    <a:prstGeom prst="rect">
                      <a:avLst/>
                    </a:prstGeom>
                    <a:noFill/>
                    <a:ln>
                      <a:noFill/>
                    </a:ln>
                  </pic:spPr>
                </pic:pic>
              </a:graphicData>
            </a:graphic>
          </wp:inline>
        </w:drawing>
      </w:r>
      <w:r>
        <w:rPr>
          <w:color w:val="auto"/>
        </w:rPr>
        <w:drawing>
          <wp:inline distT="0" distB="0" distL="114300" distR="114300">
            <wp:extent cx="5269865" cy="7448550"/>
            <wp:effectExtent l="0" t="0" r="6985" b="0"/>
            <wp:docPr id="6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8"/>
                    <pic:cNvPicPr>
                      <a:picLocks noChangeAspect="1"/>
                    </pic:cNvPicPr>
                  </pic:nvPicPr>
                  <pic:blipFill>
                    <a:blip r:embed="rId65"/>
                    <a:stretch>
                      <a:fillRect/>
                    </a:stretch>
                  </pic:blipFill>
                  <pic:spPr>
                    <a:xfrm>
                      <a:off x="0" y="0"/>
                      <a:ext cx="5269865" cy="7448550"/>
                    </a:xfrm>
                    <a:prstGeom prst="rect">
                      <a:avLst/>
                    </a:prstGeom>
                    <a:noFill/>
                    <a:ln>
                      <a:noFill/>
                    </a:ln>
                  </pic:spPr>
                </pic:pic>
              </a:graphicData>
            </a:graphic>
          </wp:inline>
        </w:drawing>
      </w:r>
      <w:r>
        <w:rPr>
          <w:color w:val="auto"/>
        </w:rPr>
        <w:drawing>
          <wp:inline distT="0" distB="0" distL="114300" distR="114300">
            <wp:extent cx="5272405" cy="7423785"/>
            <wp:effectExtent l="0" t="0" r="4445" b="5715"/>
            <wp:docPr id="6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9"/>
                    <pic:cNvPicPr>
                      <a:picLocks noChangeAspect="1"/>
                    </pic:cNvPicPr>
                  </pic:nvPicPr>
                  <pic:blipFill>
                    <a:blip r:embed="rId66"/>
                    <a:stretch>
                      <a:fillRect/>
                    </a:stretch>
                  </pic:blipFill>
                  <pic:spPr>
                    <a:xfrm>
                      <a:off x="0" y="0"/>
                      <a:ext cx="5272405" cy="7423785"/>
                    </a:xfrm>
                    <a:prstGeom prst="rect">
                      <a:avLst/>
                    </a:prstGeom>
                    <a:noFill/>
                    <a:ln>
                      <a:noFill/>
                    </a:ln>
                  </pic:spPr>
                </pic:pic>
              </a:graphicData>
            </a:graphic>
          </wp:inline>
        </w:drawing>
      </w:r>
      <w:r>
        <w:rPr>
          <w:color w:val="auto"/>
        </w:rPr>
        <w:drawing>
          <wp:inline distT="0" distB="0" distL="114300" distR="114300">
            <wp:extent cx="5272405" cy="7451090"/>
            <wp:effectExtent l="0" t="0" r="4445" b="16510"/>
            <wp:docPr id="6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0"/>
                    <pic:cNvPicPr>
                      <a:picLocks noChangeAspect="1"/>
                    </pic:cNvPicPr>
                  </pic:nvPicPr>
                  <pic:blipFill>
                    <a:blip r:embed="rId67"/>
                    <a:stretch>
                      <a:fillRect/>
                    </a:stretch>
                  </pic:blipFill>
                  <pic:spPr>
                    <a:xfrm>
                      <a:off x="0" y="0"/>
                      <a:ext cx="5272405" cy="7451090"/>
                    </a:xfrm>
                    <a:prstGeom prst="rect">
                      <a:avLst/>
                    </a:prstGeom>
                    <a:noFill/>
                    <a:ln>
                      <a:noFill/>
                    </a:ln>
                  </pic:spPr>
                </pic:pic>
              </a:graphicData>
            </a:graphic>
          </wp:inline>
        </w:drawing>
      </w:r>
      <w:r>
        <w:rPr>
          <w:color w:val="auto"/>
        </w:rPr>
        <w:drawing>
          <wp:inline distT="0" distB="0" distL="114300" distR="114300">
            <wp:extent cx="5272405" cy="7366635"/>
            <wp:effectExtent l="0" t="0" r="4445" b="5715"/>
            <wp:docPr id="6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1"/>
                    <pic:cNvPicPr>
                      <a:picLocks noChangeAspect="1"/>
                    </pic:cNvPicPr>
                  </pic:nvPicPr>
                  <pic:blipFill>
                    <a:blip r:embed="rId68"/>
                    <a:stretch>
                      <a:fillRect/>
                    </a:stretch>
                  </pic:blipFill>
                  <pic:spPr>
                    <a:xfrm>
                      <a:off x="0" y="0"/>
                      <a:ext cx="5272405" cy="7366635"/>
                    </a:xfrm>
                    <a:prstGeom prst="rect">
                      <a:avLst/>
                    </a:prstGeom>
                    <a:noFill/>
                    <a:ln>
                      <a:noFill/>
                    </a:ln>
                  </pic:spPr>
                </pic:pic>
              </a:graphicData>
            </a:graphic>
          </wp:inline>
        </w:drawing>
      </w:r>
      <w:r>
        <w:rPr>
          <w:color w:val="auto"/>
        </w:rPr>
        <w:drawing>
          <wp:inline distT="0" distB="0" distL="114300" distR="114300">
            <wp:extent cx="5270500" cy="7396480"/>
            <wp:effectExtent l="0" t="0" r="6350" b="13970"/>
            <wp:docPr id="6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2"/>
                    <pic:cNvPicPr>
                      <a:picLocks noChangeAspect="1"/>
                    </pic:cNvPicPr>
                  </pic:nvPicPr>
                  <pic:blipFill>
                    <a:blip r:embed="rId69"/>
                    <a:stretch>
                      <a:fillRect/>
                    </a:stretch>
                  </pic:blipFill>
                  <pic:spPr>
                    <a:xfrm>
                      <a:off x="0" y="0"/>
                      <a:ext cx="5270500" cy="7396480"/>
                    </a:xfrm>
                    <a:prstGeom prst="rect">
                      <a:avLst/>
                    </a:prstGeom>
                    <a:noFill/>
                    <a:ln>
                      <a:noFill/>
                    </a:ln>
                  </pic:spPr>
                </pic:pic>
              </a:graphicData>
            </a:graphic>
          </wp:inline>
        </w:drawing>
      </w:r>
      <w:r>
        <w:rPr>
          <w:color w:val="auto"/>
        </w:rPr>
        <w:drawing>
          <wp:inline distT="0" distB="0" distL="114300" distR="114300">
            <wp:extent cx="5270500" cy="7371715"/>
            <wp:effectExtent l="0" t="0" r="6350" b="635"/>
            <wp:docPr id="6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3"/>
                    <pic:cNvPicPr>
                      <a:picLocks noChangeAspect="1"/>
                    </pic:cNvPicPr>
                  </pic:nvPicPr>
                  <pic:blipFill>
                    <a:blip r:embed="rId70"/>
                    <a:stretch>
                      <a:fillRect/>
                    </a:stretch>
                  </pic:blipFill>
                  <pic:spPr>
                    <a:xfrm>
                      <a:off x="0" y="0"/>
                      <a:ext cx="5270500" cy="7371715"/>
                    </a:xfrm>
                    <a:prstGeom prst="rect">
                      <a:avLst/>
                    </a:prstGeom>
                    <a:noFill/>
                    <a:ln>
                      <a:noFill/>
                    </a:ln>
                  </pic:spPr>
                </pic:pic>
              </a:graphicData>
            </a:graphic>
          </wp:inline>
        </w:drawing>
      </w:r>
      <w:r>
        <w:rPr>
          <w:color w:val="auto"/>
        </w:rPr>
        <w:drawing>
          <wp:inline distT="0" distB="0" distL="114300" distR="114300">
            <wp:extent cx="5270500" cy="7269480"/>
            <wp:effectExtent l="0" t="0" r="6350" b="7620"/>
            <wp:docPr id="6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4"/>
                    <pic:cNvPicPr>
                      <a:picLocks noChangeAspect="1"/>
                    </pic:cNvPicPr>
                  </pic:nvPicPr>
                  <pic:blipFill>
                    <a:blip r:embed="rId71"/>
                    <a:stretch>
                      <a:fillRect/>
                    </a:stretch>
                  </pic:blipFill>
                  <pic:spPr>
                    <a:xfrm>
                      <a:off x="0" y="0"/>
                      <a:ext cx="5270500" cy="7269480"/>
                    </a:xfrm>
                    <a:prstGeom prst="rect">
                      <a:avLst/>
                    </a:prstGeom>
                    <a:noFill/>
                    <a:ln>
                      <a:noFill/>
                    </a:ln>
                  </pic:spPr>
                </pic:pic>
              </a:graphicData>
            </a:graphic>
          </wp:inline>
        </w:drawing>
      </w:r>
      <w:r>
        <w:rPr>
          <w:color w:val="auto"/>
        </w:rPr>
        <w:drawing>
          <wp:inline distT="0" distB="0" distL="114300" distR="114300">
            <wp:extent cx="5273675" cy="7274560"/>
            <wp:effectExtent l="0" t="0" r="3175" b="2540"/>
            <wp:docPr id="6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5"/>
                    <pic:cNvPicPr>
                      <a:picLocks noChangeAspect="1"/>
                    </pic:cNvPicPr>
                  </pic:nvPicPr>
                  <pic:blipFill>
                    <a:blip r:embed="rId72"/>
                    <a:stretch>
                      <a:fillRect/>
                    </a:stretch>
                  </pic:blipFill>
                  <pic:spPr>
                    <a:xfrm>
                      <a:off x="0" y="0"/>
                      <a:ext cx="5273675" cy="7274560"/>
                    </a:xfrm>
                    <a:prstGeom prst="rect">
                      <a:avLst/>
                    </a:prstGeom>
                    <a:noFill/>
                    <a:ln>
                      <a:noFill/>
                    </a:ln>
                  </pic:spPr>
                </pic:pic>
              </a:graphicData>
            </a:graphic>
          </wp:inline>
        </w:drawing>
      </w:r>
    </w:p>
    <w:p w14:paraId="3FB29410">
      <w:pPr>
        <w:adjustRightInd w:val="0"/>
        <w:spacing w:line="360" w:lineRule="auto"/>
        <w:outlineLvl w:val="0"/>
        <w:rPr>
          <w:rFonts w:hint="eastAsia"/>
          <w:color w:val="auto"/>
          <w:sz w:val="24"/>
        </w:rPr>
      </w:pPr>
      <w:r>
        <w:rPr>
          <w:rFonts w:hint="eastAsia"/>
          <w:color w:val="auto"/>
          <w:sz w:val="24"/>
        </w:rPr>
        <w:t>附图1：地理位置图</w:t>
      </w:r>
    </w:p>
    <w:p w14:paraId="446B4984">
      <w:pPr>
        <w:jc w:val="center"/>
        <w:rPr>
          <w:color w:val="auto"/>
          <w:lang w:val="en-US"/>
        </w:rPr>
      </w:pPr>
      <w:r>
        <w:rPr>
          <w:color w:val="auto"/>
        </w:rPr>
        <w:drawing>
          <wp:inline distT="0" distB="0" distL="114300" distR="114300">
            <wp:extent cx="6682105" cy="4735830"/>
            <wp:effectExtent l="0" t="0" r="4445" b="7620"/>
            <wp:docPr id="4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2"/>
                    <pic:cNvPicPr>
                      <a:picLocks noChangeAspect="1"/>
                    </pic:cNvPicPr>
                  </pic:nvPicPr>
                  <pic:blipFill>
                    <a:blip r:embed="rId73"/>
                    <a:stretch>
                      <a:fillRect/>
                    </a:stretch>
                  </pic:blipFill>
                  <pic:spPr>
                    <a:xfrm>
                      <a:off x="0" y="0"/>
                      <a:ext cx="6682105" cy="4735830"/>
                    </a:xfrm>
                    <a:prstGeom prst="rect">
                      <a:avLst/>
                    </a:prstGeom>
                    <a:noFill/>
                    <a:ln w="12700">
                      <a:noFill/>
                    </a:ln>
                  </pic:spPr>
                </pic:pic>
              </a:graphicData>
            </a:graphic>
          </wp:inline>
        </w:drawing>
      </w:r>
    </w:p>
    <w:p w14:paraId="235E787F">
      <w:pPr>
        <w:pStyle w:val="18"/>
        <w:rPr>
          <w:color w:val="auto"/>
          <w:lang w:val="en-US"/>
        </w:rPr>
      </w:pPr>
    </w:p>
    <w:p w14:paraId="1328DAC4">
      <w:pPr>
        <w:pStyle w:val="17"/>
        <w:rPr>
          <w:color w:val="auto"/>
          <w:lang w:val="en-US"/>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14:paraId="1BC23A2A">
      <w:pPr>
        <w:adjustRightInd w:val="0"/>
        <w:spacing w:line="360" w:lineRule="auto"/>
        <w:outlineLvl w:val="0"/>
        <w:rPr>
          <w:color w:val="auto"/>
          <w:sz w:val="24"/>
        </w:rPr>
      </w:pPr>
      <w:r>
        <w:rPr>
          <w:rFonts w:hint="eastAsia"/>
          <w:color w:val="auto"/>
          <w:sz w:val="24"/>
        </w:rPr>
        <w:t>附图2：平面布置图</w:t>
      </w:r>
    </w:p>
    <w:p w14:paraId="1EF6EA82">
      <w:pPr>
        <w:pStyle w:val="33"/>
        <w:ind w:firstLine="0" w:firstLineChars="0"/>
        <w:jc w:val="center"/>
        <w:rPr>
          <w:color w:val="auto"/>
        </w:rPr>
      </w:pPr>
      <w:r>
        <w:rPr>
          <w:color w:val="auto"/>
          <w:sz w:val="21"/>
        </w:rPr>
        <mc:AlternateContent>
          <mc:Choice Requires="wps">
            <w:drawing>
              <wp:anchor distT="0" distB="0" distL="114300" distR="114300" simplePos="0" relativeHeight="251668480" behindDoc="0" locked="0" layoutInCell="1" allowOverlap="1">
                <wp:simplePos x="0" y="0"/>
                <wp:positionH relativeFrom="column">
                  <wp:posOffset>2750820</wp:posOffset>
                </wp:positionH>
                <wp:positionV relativeFrom="paragraph">
                  <wp:posOffset>957580</wp:posOffset>
                </wp:positionV>
                <wp:extent cx="1161415" cy="323850"/>
                <wp:effectExtent l="6350" t="6350" r="394335" b="279400"/>
                <wp:wrapNone/>
                <wp:docPr id="43" name="矩形标注 54"/>
                <wp:cNvGraphicFramePr/>
                <a:graphic xmlns:a="http://schemas.openxmlformats.org/drawingml/2006/main">
                  <a:graphicData uri="http://schemas.microsoft.com/office/word/2010/wordprocessingShape">
                    <wps:wsp>
                      <wps:cNvSpPr/>
                      <wps:spPr>
                        <a:xfrm>
                          <a:off x="0" y="0"/>
                          <a:ext cx="1161415" cy="323850"/>
                        </a:xfrm>
                        <a:prstGeom prst="wedgeRectCallout">
                          <a:avLst>
                            <a:gd name="adj1" fmla="val 78212"/>
                            <a:gd name="adj2" fmla="val 129215"/>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02B426E8">
                            <w:pPr>
                              <w:jc w:val="center"/>
                              <w:rPr>
                                <w:rFonts w:hint="default" w:eastAsia="宋体"/>
                                <w:color w:val="FFFFFF"/>
                                <w:lang w:val="en-US" w:eastAsia="zh-CN"/>
                              </w:rPr>
                            </w:pPr>
                            <w:r>
                              <w:rPr>
                                <w:rFonts w:hint="eastAsia"/>
                                <w:color w:val="FFFFFF"/>
                                <w:lang w:val="en-US" w:eastAsia="zh-CN"/>
                              </w:rPr>
                              <w:t>矿井工业场地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54" o:spid="_x0000_s1026" o:spt="61" type="#_x0000_t61" style="position:absolute;left:0pt;margin-left:216.6pt;margin-top:75.4pt;height:25.5pt;width:91.45pt;z-index:251668480;v-text-anchor:middle;mso-width-relative:page;mso-height-relative:page;" fillcolor="#5B9BD5 [3204]" filled="t" stroked="t" coordsize="21600,21600" o:gfxdata="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AjTvd9gAAAAL&#10;AQAADwAAAAAAAAABACAAAAAiAAAAZHJzL2Rvd25yZXYueG1sUEsBAhQAFAAAAAgAh07iQH8bbyHH&#10;AgAAhwUAAA4AAAAAAAAAAQAgAAAAJwEAAGRycy9lMm9Eb2MueG1sUEsFBgAAAAAGAAYAWQEAAGAG&#10;AAAAAA==&#10;" adj="27694,38710">
                <v:fill on="t" focussize="0,0"/>
                <v:stroke weight="1pt" color="#2E75B6 [2404]" miterlimit="8" joinstyle="miter"/>
                <v:imagedata o:title=""/>
                <o:lock v:ext="edit" aspectratio="f"/>
                <v:textbox>
                  <w:txbxContent>
                    <w:p w14:paraId="02B426E8">
                      <w:pPr>
                        <w:jc w:val="center"/>
                        <w:rPr>
                          <w:rFonts w:hint="default" w:eastAsia="宋体"/>
                          <w:color w:val="FFFFFF"/>
                          <w:lang w:val="en-US" w:eastAsia="zh-CN"/>
                        </w:rPr>
                      </w:pPr>
                      <w:r>
                        <w:rPr>
                          <w:rFonts w:hint="eastAsia"/>
                          <w:color w:val="FFFFFF"/>
                          <w:lang w:val="en-US" w:eastAsia="zh-CN"/>
                        </w:rPr>
                        <w:t>矿井工业场地</w:t>
                      </w:r>
                    </w:p>
                  </w:txbxContent>
                </v:textbox>
              </v:shape>
            </w:pict>
          </mc:Fallback>
        </mc:AlternateContent>
      </w:r>
      <w:r>
        <w:rPr>
          <w:color w:val="auto"/>
          <w:sz w:val="21"/>
        </w:rPr>
        <mc:AlternateContent>
          <mc:Choice Requires="wps">
            <w:drawing>
              <wp:anchor distT="0" distB="0" distL="114300" distR="114300" simplePos="0" relativeHeight="251667456" behindDoc="0" locked="0" layoutInCell="1" allowOverlap="1">
                <wp:simplePos x="0" y="0"/>
                <wp:positionH relativeFrom="column">
                  <wp:posOffset>718185</wp:posOffset>
                </wp:positionH>
                <wp:positionV relativeFrom="paragraph">
                  <wp:posOffset>430530</wp:posOffset>
                </wp:positionV>
                <wp:extent cx="889000" cy="323850"/>
                <wp:effectExtent l="6350" t="6350" r="228600" b="355600"/>
                <wp:wrapNone/>
                <wp:docPr id="44" name="矩形标注 53"/>
                <wp:cNvGraphicFramePr/>
                <a:graphic xmlns:a="http://schemas.openxmlformats.org/drawingml/2006/main">
                  <a:graphicData uri="http://schemas.microsoft.com/office/word/2010/wordprocessingShape">
                    <wps:wsp>
                      <wps:cNvSpPr/>
                      <wps:spPr>
                        <a:xfrm>
                          <a:off x="0" y="0"/>
                          <a:ext cx="889000" cy="323850"/>
                        </a:xfrm>
                        <a:prstGeom prst="wedgeRectCallout">
                          <a:avLst>
                            <a:gd name="adj1" fmla="val 70571"/>
                            <a:gd name="adj2" fmla="val 148823"/>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3C6AB350">
                            <w:pPr>
                              <w:jc w:val="center"/>
                              <w:rPr>
                                <w:rFonts w:hint="default" w:eastAsia="宋体"/>
                                <w:color w:val="FFFFFF"/>
                                <w:lang w:val="en-US" w:eastAsia="zh-CN"/>
                              </w:rPr>
                            </w:pPr>
                            <w:r>
                              <w:rPr>
                                <w:rFonts w:hint="eastAsia"/>
                                <w:color w:val="FFFFFF"/>
                                <w:lang w:val="en-US" w:eastAsia="zh-CN"/>
                              </w:rPr>
                              <w:t>采矿范围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53" o:spid="_x0000_s1026" o:spt="61" type="#_x0000_t61" style="position:absolute;left:0pt;margin-left:56.55pt;margin-top:33.9pt;height:25.5pt;width:70pt;z-index:251667456;v-text-anchor:middle;mso-width-relative:page;mso-height-relative:page;" fillcolor="#5B9BD5 [3204]" filled="t" stroked="t" coordsize="21600,21600" o:gfxdata="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" adj="26043,42946">
                <v:fill on="t" focussize="0,0"/>
                <v:stroke weight="1pt" color="#2E75B6 [2404]" miterlimit="8" joinstyle="miter"/>
                <v:imagedata o:title=""/>
                <o:lock v:ext="edit" aspectratio="f"/>
                <v:textbox>
                  <w:txbxContent>
                    <w:p w14:paraId="3C6AB350">
                      <w:pPr>
                        <w:jc w:val="center"/>
                        <w:rPr>
                          <w:rFonts w:hint="default" w:eastAsia="宋体"/>
                          <w:color w:val="FFFFFF"/>
                          <w:lang w:val="en-US" w:eastAsia="zh-CN"/>
                        </w:rPr>
                      </w:pPr>
                      <w:r>
                        <w:rPr>
                          <w:rFonts w:hint="eastAsia"/>
                          <w:color w:val="FFFFFF"/>
                          <w:lang w:val="en-US" w:eastAsia="zh-CN"/>
                        </w:rPr>
                        <w:t>采矿范围</w:t>
                      </w:r>
                    </w:p>
                  </w:txbxContent>
                </v:textbox>
              </v:shape>
            </w:pict>
          </mc:Fallback>
        </mc:AlternateContent>
      </w:r>
      <w:r>
        <w:rPr>
          <w:color w:val="auto"/>
          <w:sz w:val="21"/>
        </w:rPr>
        <mc:AlternateContent>
          <mc:Choice Requires="wps">
            <w:drawing>
              <wp:anchor distT="0" distB="0" distL="114300" distR="114300" simplePos="0" relativeHeight="251666432" behindDoc="0" locked="0" layoutInCell="1" allowOverlap="1">
                <wp:simplePos x="0" y="0"/>
                <wp:positionH relativeFrom="column">
                  <wp:posOffset>3086735</wp:posOffset>
                </wp:positionH>
                <wp:positionV relativeFrom="paragraph">
                  <wp:posOffset>1865630</wp:posOffset>
                </wp:positionV>
                <wp:extent cx="889000" cy="323850"/>
                <wp:effectExtent l="6350" t="6350" r="495300" b="12700"/>
                <wp:wrapNone/>
                <wp:docPr id="45" name="矩形标注 52"/>
                <wp:cNvGraphicFramePr/>
                <a:graphic xmlns:a="http://schemas.openxmlformats.org/drawingml/2006/main">
                  <a:graphicData uri="http://schemas.microsoft.com/office/word/2010/wordprocessingShape">
                    <wps:wsp>
                      <wps:cNvSpPr/>
                      <wps:spPr>
                        <a:xfrm>
                          <a:off x="0" y="0"/>
                          <a:ext cx="889000" cy="323850"/>
                        </a:xfrm>
                        <a:prstGeom prst="wedgeRectCallout">
                          <a:avLst>
                            <a:gd name="adj1" fmla="val 99142"/>
                            <a:gd name="adj2" fmla="val 44901"/>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27B8D035">
                            <w:pPr>
                              <w:jc w:val="center"/>
                              <w:rPr>
                                <w:rFonts w:hint="default" w:eastAsia="宋体"/>
                                <w:color w:val="FFFFFF"/>
                                <w:lang w:val="en-US" w:eastAsia="zh-CN"/>
                              </w:rPr>
                            </w:pPr>
                            <w:r>
                              <w:rPr>
                                <w:rFonts w:hint="eastAsia"/>
                                <w:color w:val="FFFFFF"/>
                                <w:lang w:val="en-US" w:eastAsia="zh-CN"/>
                              </w:rPr>
                              <w:t>外部道路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52" o:spid="_x0000_s1026" o:spt="61" type="#_x0000_t61" style="position:absolute;left:0pt;margin-left:243.05pt;margin-top:146.9pt;height:25.5pt;width:70pt;z-index:251666432;v-text-anchor:middle;mso-width-relative:page;mso-height-relative:page;" fillcolor="#5B9BD5 [3204]" filled="t" stroked="t" coordsize="21600,21600" o:gfxdata="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VM5WddoAAAAL&#10;AQAADwAAAAAAAAABACAAAAAiAAAAZHJzL2Rvd25yZXYueG1sUEsBAhQAFAAAAAgAh07iQLKoiu7F&#10;AgAAhQUAAA4AAAAAAAAAAQAgAAAAKQEAAGRycy9lMm9Eb2MueG1sUEsFBgAAAAAGAAYAWQEAAGAG&#10;AAAAAA==&#10;" adj="32215,20499">
                <v:fill on="t" focussize="0,0"/>
                <v:stroke weight="1pt" color="#2E75B6 [2404]" miterlimit="8" joinstyle="miter"/>
                <v:imagedata o:title=""/>
                <o:lock v:ext="edit" aspectratio="f"/>
                <v:textbox>
                  <w:txbxContent>
                    <w:p w14:paraId="27B8D035">
                      <w:pPr>
                        <w:jc w:val="center"/>
                        <w:rPr>
                          <w:rFonts w:hint="default" w:eastAsia="宋体"/>
                          <w:color w:val="FFFFFF"/>
                          <w:lang w:val="en-US" w:eastAsia="zh-CN"/>
                        </w:rPr>
                      </w:pPr>
                      <w:r>
                        <w:rPr>
                          <w:rFonts w:hint="eastAsia"/>
                          <w:color w:val="FFFFFF"/>
                          <w:lang w:val="en-US" w:eastAsia="zh-CN"/>
                        </w:rPr>
                        <w:t>外部道路</w:t>
                      </w:r>
                    </w:p>
                  </w:txbxContent>
                </v:textbox>
              </v:shape>
            </w:pict>
          </mc:Fallback>
        </mc:AlternateContent>
      </w:r>
      <w:r>
        <w:rPr>
          <w:color w:val="auto"/>
          <w:sz w:val="21"/>
        </w:rPr>
        <mc:AlternateContent>
          <mc:Choice Requires="wps">
            <w:drawing>
              <wp:anchor distT="0" distB="0" distL="114300" distR="114300" simplePos="0" relativeHeight="251665408" behindDoc="0" locked="0" layoutInCell="1" allowOverlap="1">
                <wp:simplePos x="0" y="0"/>
                <wp:positionH relativeFrom="column">
                  <wp:posOffset>3118485</wp:posOffset>
                </wp:positionH>
                <wp:positionV relativeFrom="paragraph">
                  <wp:posOffset>2481580</wp:posOffset>
                </wp:positionV>
                <wp:extent cx="889000" cy="323850"/>
                <wp:effectExtent l="6350" t="6350" r="495300" b="12700"/>
                <wp:wrapNone/>
                <wp:docPr id="46" name="矩形标注 51"/>
                <wp:cNvGraphicFramePr/>
                <a:graphic xmlns:a="http://schemas.openxmlformats.org/drawingml/2006/main">
                  <a:graphicData uri="http://schemas.microsoft.com/office/word/2010/wordprocessingShape">
                    <wps:wsp>
                      <wps:cNvSpPr/>
                      <wps:spPr>
                        <a:xfrm>
                          <a:off x="0" y="0"/>
                          <a:ext cx="889000" cy="323850"/>
                        </a:xfrm>
                        <a:prstGeom prst="wedgeRectCallout">
                          <a:avLst>
                            <a:gd name="adj1" fmla="val 99142"/>
                            <a:gd name="adj2" fmla="val 44901"/>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579FF062">
                            <w:pPr>
                              <w:jc w:val="center"/>
                              <w:rPr>
                                <w:rFonts w:hint="default" w:eastAsia="宋体"/>
                                <w:color w:val="FFFFFF"/>
                                <w:lang w:val="en-US" w:eastAsia="zh-CN"/>
                              </w:rPr>
                            </w:pPr>
                            <w:r>
                              <w:rPr>
                                <w:rFonts w:hint="eastAsia"/>
                                <w:color w:val="FFFFFF"/>
                                <w:lang w:val="en-US" w:eastAsia="zh-CN"/>
                              </w:rPr>
                              <w:t>污水处理区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51" o:spid="_x0000_s1026" o:spt="61" type="#_x0000_t61" style="position:absolute;left:0pt;margin-left:245.55pt;margin-top:195.4pt;height:25.5pt;width:70pt;z-index:251665408;v-text-anchor:middle;mso-width-relative:page;mso-height-relative:page;" fillcolor="#5B9BD5 [3204]" filled="t" stroked="t" coordsize="21600,21600" o:gfxdata="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DiCAO/aAAAACwEA&#10;AA8AAAAAAAAAAQAgAAAAIgAAAGRycy9kb3ducmV2LnhtbFBLAQIUABQAAAAIAIdO4kAtUPhVwwIA&#10;AIUFAAAOAAAAAAAAAAEAIAAAACkBAABkcnMvZTJvRG9jLnhtbFBLBQYAAAAABgAGAFkBAABeBgAA&#10;AAA=&#10;" adj="32215,20499">
                <v:fill on="t" focussize="0,0"/>
                <v:stroke weight="1pt" color="#2E75B6 [2404]" miterlimit="8" joinstyle="miter"/>
                <v:imagedata o:title=""/>
                <o:lock v:ext="edit" aspectratio="f"/>
                <v:textbox>
                  <w:txbxContent>
                    <w:p w14:paraId="579FF062">
                      <w:pPr>
                        <w:jc w:val="center"/>
                        <w:rPr>
                          <w:rFonts w:hint="default" w:eastAsia="宋体"/>
                          <w:color w:val="FFFFFF"/>
                          <w:lang w:val="en-US" w:eastAsia="zh-CN"/>
                        </w:rPr>
                      </w:pPr>
                      <w:r>
                        <w:rPr>
                          <w:rFonts w:hint="eastAsia"/>
                          <w:color w:val="FFFFFF"/>
                          <w:lang w:val="en-US" w:eastAsia="zh-CN"/>
                        </w:rPr>
                        <w:t>污水处理区</w:t>
                      </w:r>
                    </w:p>
                  </w:txbxContent>
                </v:textbox>
              </v:shape>
            </w:pict>
          </mc:Fallback>
        </mc:AlternateContent>
      </w:r>
      <w:r>
        <w:rPr>
          <w:color w:val="auto"/>
          <w:sz w:val="21"/>
        </w:rPr>
        <mc:AlternateContent>
          <mc:Choice Requires="wps">
            <w:drawing>
              <wp:anchor distT="0" distB="0" distL="114300" distR="114300" simplePos="0" relativeHeight="251664384" behindDoc="0" locked="0" layoutInCell="1" allowOverlap="1">
                <wp:simplePos x="0" y="0"/>
                <wp:positionH relativeFrom="column">
                  <wp:posOffset>3124835</wp:posOffset>
                </wp:positionH>
                <wp:positionV relativeFrom="paragraph">
                  <wp:posOffset>3472180</wp:posOffset>
                </wp:positionV>
                <wp:extent cx="889000" cy="323850"/>
                <wp:effectExtent l="6350" t="554355" r="342900" b="17145"/>
                <wp:wrapNone/>
                <wp:docPr id="47" name="矩形标注 50"/>
                <wp:cNvGraphicFramePr/>
                <a:graphic xmlns:a="http://schemas.openxmlformats.org/drawingml/2006/main">
                  <a:graphicData uri="http://schemas.microsoft.com/office/word/2010/wordprocessingShape">
                    <wps:wsp>
                      <wps:cNvSpPr/>
                      <wps:spPr>
                        <a:xfrm>
                          <a:off x="0" y="0"/>
                          <a:ext cx="889000" cy="323850"/>
                        </a:xfrm>
                        <a:prstGeom prst="wedgeRectCallout">
                          <a:avLst>
                            <a:gd name="adj1" fmla="val 82714"/>
                            <a:gd name="adj2" fmla="val -210000"/>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0DD57BB1">
                            <w:pPr>
                              <w:jc w:val="center"/>
                              <w:rPr>
                                <w:rFonts w:hint="default" w:eastAsia="宋体"/>
                                <w:color w:val="FFFFFF"/>
                                <w:lang w:val="en-US" w:eastAsia="zh-CN"/>
                              </w:rPr>
                            </w:pPr>
                            <w:r>
                              <w:rPr>
                                <w:rFonts w:hint="eastAsia"/>
                                <w:color w:val="FFFFFF"/>
                                <w:lang w:val="en-US" w:eastAsia="zh-CN"/>
                              </w:rPr>
                              <w:t>光伏区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50" o:spid="_x0000_s1026" o:spt="61" type="#_x0000_t61" style="position:absolute;left:0pt;margin-left:246.05pt;margin-top:273.4pt;height:25.5pt;width:70pt;z-index:251664384;v-text-anchor:middle;mso-width-relative:page;mso-height-relative:page;" fillcolor="#5B9BD5 [3204]" filled="t" stroked="t" coordsize="21600,21600" o:gfxdata="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AJVyNTYAAAACwEAAA8A&#10;AAAAAAAAAQAgAAAAIgAAAGRycy9kb3ducmV2LnhtbFBLAQIUABQAAAAIAIdO4kCcNYrcwgIAAIcF&#10;AAAOAAAAAAAAAAEAIAAAACcBAABkcnMvZTJvRG9jLnhtbFBLBQYAAAAABgAGAFkBAABbBgAAAAA=&#10;" adj="28666,-34560">
                <v:fill on="t" focussize="0,0"/>
                <v:stroke weight="1pt" color="#2E75B6 [2404]" miterlimit="8" joinstyle="miter"/>
                <v:imagedata o:title=""/>
                <o:lock v:ext="edit" aspectratio="f"/>
                <v:textbox>
                  <w:txbxContent>
                    <w:p w14:paraId="0DD57BB1">
                      <w:pPr>
                        <w:jc w:val="center"/>
                        <w:rPr>
                          <w:rFonts w:hint="default" w:eastAsia="宋体"/>
                          <w:color w:val="FFFFFF"/>
                          <w:lang w:val="en-US" w:eastAsia="zh-CN"/>
                        </w:rPr>
                      </w:pPr>
                      <w:r>
                        <w:rPr>
                          <w:rFonts w:hint="eastAsia"/>
                          <w:color w:val="FFFFFF"/>
                          <w:lang w:val="en-US" w:eastAsia="zh-CN"/>
                        </w:rPr>
                        <w:t>光伏区</w:t>
                      </w:r>
                    </w:p>
                  </w:txbxContent>
                </v:textbox>
              </v:shape>
            </w:pict>
          </mc:Fallback>
        </mc:AlternateContent>
      </w:r>
      <w:r>
        <w:rPr>
          <w:color w:val="auto"/>
          <w:sz w:val="21"/>
        </w:rPr>
        <mc:AlternateContent>
          <mc:Choice Requires="wps">
            <w:drawing>
              <wp:anchor distT="0" distB="0" distL="114300" distR="114300" simplePos="0" relativeHeight="251663360" behindDoc="0" locked="0" layoutInCell="1" allowOverlap="1">
                <wp:simplePos x="0" y="0"/>
                <wp:positionH relativeFrom="column">
                  <wp:posOffset>5137785</wp:posOffset>
                </wp:positionH>
                <wp:positionV relativeFrom="paragraph">
                  <wp:posOffset>2837180</wp:posOffset>
                </wp:positionV>
                <wp:extent cx="889000" cy="323850"/>
                <wp:effectExtent l="642620" t="6350" r="11430" b="12700"/>
                <wp:wrapNone/>
                <wp:docPr id="48" name="矩形标注 49"/>
                <wp:cNvGraphicFramePr/>
                <a:graphic xmlns:a="http://schemas.openxmlformats.org/drawingml/2006/main">
                  <a:graphicData uri="http://schemas.microsoft.com/office/word/2010/wordprocessingShape">
                    <wps:wsp>
                      <wps:cNvSpPr/>
                      <wps:spPr>
                        <a:xfrm>
                          <a:off x="0" y="0"/>
                          <a:ext cx="889000" cy="323850"/>
                        </a:xfrm>
                        <a:prstGeom prst="wedgeRectCallout">
                          <a:avLst>
                            <a:gd name="adj1" fmla="val -116571"/>
                            <a:gd name="adj2" fmla="val -19803"/>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6C11CB48">
                            <w:pPr>
                              <w:jc w:val="center"/>
                              <w:rPr>
                                <w:rFonts w:hint="default" w:eastAsia="宋体"/>
                                <w:color w:val="FFFFFF"/>
                                <w:lang w:val="en-US" w:eastAsia="zh-CN"/>
                              </w:rPr>
                            </w:pPr>
                            <w:r>
                              <w:rPr>
                                <w:rFonts w:hint="eastAsia"/>
                                <w:color w:val="FFFFFF"/>
                                <w:lang w:val="en-US" w:eastAsia="zh-CN"/>
                              </w:rPr>
                              <w:t>储煤场地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49" o:spid="_x0000_s1026" o:spt="61" type="#_x0000_t61" style="position:absolute;left:0pt;margin-left:404.55pt;margin-top:223.4pt;height:25.5pt;width:70pt;z-index:251663360;v-text-anchor:middle;mso-width-relative:page;mso-height-relative:page;" fillcolor="#5B9BD5 [3204]" filled="t" stroked="t" coordsize="21600,21600" o:gfxdata="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LXMGptkAAAAL&#10;AQAADwAAAAAAAAABACAAAAAiAAAAZHJzL2Rvd25yZXYueG1sUEsBAhQAFAAAAAgAh07iQJpY2SzG&#10;AgAAiAUAAA4AAAAAAAAAAQAgAAAAKAEAAGRycy9lMm9Eb2MueG1sUEsFBgAAAAAGAAYAWQEAAGAG&#10;AAAAAA==&#10;" adj="-14379,6523">
                <v:fill on="t" focussize="0,0"/>
                <v:stroke weight="1pt" color="#2E75B6 [2404]" miterlimit="8" joinstyle="miter"/>
                <v:imagedata o:title=""/>
                <o:lock v:ext="edit" aspectratio="f"/>
                <v:textbox>
                  <w:txbxContent>
                    <w:p w14:paraId="6C11CB48">
                      <w:pPr>
                        <w:jc w:val="center"/>
                        <w:rPr>
                          <w:rFonts w:hint="default" w:eastAsia="宋体"/>
                          <w:color w:val="FFFFFF"/>
                          <w:lang w:val="en-US" w:eastAsia="zh-CN"/>
                        </w:rPr>
                      </w:pPr>
                      <w:r>
                        <w:rPr>
                          <w:rFonts w:hint="eastAsia"/>
                          <w:color w:val="FFFFFF"/>
                          <w:lang w:val="en-US" w:eastAsia="zh-CN"/>
                        </w:rPr>
                        <w:t>储煤场地</w:t>
                      </w:r>
                    </w:p>
                  </w:txbxContent>
                </v:textbox>
              </v:shape>
            </w:pict>
          </mc:Fallback>
        </mc:AlternateContent>
      </w:r>
      <w:r>
        <w:rPr>
          <w:color w:val="auto"/>
          <w:sz w:val="21"/>
        </w:rPr>
        <mc:AlternateContent>
          <mc:Choice Requires="wps">
            <w:drawing>
              <wp:anchor distT="0" distB="0" distL="114300" distR="114300" simplePos="0" relativeHeight="251662336" behindDoc="0" locked="0" layoutInCell="1" allowOverlap="1">
                <wp:simplePos x="0" y="0"/>
                <wp:positionH relativeFrom="column">
                  <wp:posOffset>4953635</wp:posOffset>
                </wp:positionH>
                <wp:positionV relativeFrom="paragraph">
                  <wp:posOffset>3268980</wp:posOffset>
                </wp:positionV>
                <wp:extent cx="889000" cy="323850"/>
                <wp:effectExtent l="673735" t="83185" r="18415" b="12065"/>
                <wp:wrapNone/>
                <wp:docPr id="49" name="矩形标注 48"/>
                <wp:cNvGraphicFramePr/>
                <a:graphic xmlns:a="http://schemas.openxmlformats.org/drawingml/2006/main">
                  <a:graphicData uri="http://schemas.microsoft.com/office/word/2010/wordprocessingShape">
                    <wps:wsp>
                      <wps:cNvSpPr/>
                      <wps:spPr>
                        <a:xfrm>
                          <a:off x="5868035" y="4709160"/>
                          <a:ext cx="889000" cy="323850"/>
                        </a:xfrm>
                        <a:prstGeom prst="wedgeRectCallout">
                          <a:avLst>
                            <a:gd name="adj1" fmla="val -120142"/>
                            <a:gd name="adj2" fmla="val -70784"/>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2F496C2E">
                            <w:pPr>
                              <w:jc w:val="center"/>
                              <w:rPr>
                                <w:rFonts w:hint="default" w:eastAsia="宋体"/>
                                <w:color w:val="FFFFFF"/>
                                <w:lang w:val="en-US" w:eastAsia="zh-CN"/>
                              </w:rPr>
                            </w:pPr>
                            <w:r>
                              <w:rPr>
                                <w:rFonts w:hint="eastAsia"/>
                                <w:color w:val="FFFFFF"/>
                                <w:lang w:val="en-US" w:eastAsia="zh-CN"/>
                              </w:rPr>
                              <w:t>电厂</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矩形标注 48" o:spid="_x0000_s1026" o:spt="61" type="#_x0000_t61" style="position:absolute;left:0pt;margin-left:390.05pt;margin-top:257.4pt;height:25.5pt;width:70pt;z-index:251662336;v-text-anchor:middle;mso-width-relative:page;mso-height-relative:page;" fillcolor="#5B9BD5 [3204]" filled="t" stroked="t" coordsize="21600,21600" o:gfxdata="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HzIOinYAAAACwEAAA8AAAAAAAAAAQAgAAAAIgAAAGRycy9kb3ducmV2LnhtbFBLAQIUABQAAAAI&#10;AIdO4kDA2x9R0QIAAJQFAAAOAAAAAAAAAAEAIAAAACcBAABkcnMvZTJvRG9jLnhtbFBLBQYAAAAA&#10;BgAGAFkBAABqBgAAAAA=&#10;" adj="-15151,-4489">
                <v:fill on="t" focussize="0,0"/>
                <v:stroke weight="1pt" color="#2E75B6 [2404]" miterlimit="8" joinstyle="miter"/>
                <v:imagedata o:title=""/>
                <o:lock v:ext="edit" aspectratio="f"/>
                <v:textbox>
                  <w:txbxContent>
                    <w:p w14:paraId="2F496C2E">
                      <w:pPr>
                        <w:jc w:val="center"/>
                        <w:rPr>
                          <w:rFonts w:hint="default" w:eastAsia="宋体"/>
                          <w:color w:val="FFFFFF"/>
                          <w:lang w:val="en-US" w:eastAsia="zh-CN"/>
                        </w:rPr>
                      </w:pPr>
                      <w:r>
                        <w:rPr>
                          <w:rFonts w:hint="eastAsia"/>
                          <w:color w:val="FFFFFF"/>
                          <w:lang w:val="en-US" w:eastAsia="zh-CN"/>
                        </w:rPr>
                        <w:t>电厂</w:t>
                      </w:r>
                    </w:p>
                  </w:txbxContent>
                </v:textbox>
              </v:shape>
            </w:pict>
          </mc:Fallback>
        </mc:AlternateContent>
      </w:r>
      <w:r>
        <w:rPr>
          <w:color w:val="auto"/>
        </w:rPr>
        <w:drawing>
          <wp:inline distT="0" distB="0" distL="114300" distR="114300">
            <wp:extent cx="7609205" cy="4614545"/>
            <wp:effectExtent l="0" t="0" r="10795" b="14605"/>
            <wp:docPr id="5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8"/>
                    <pic:cNvPicPr>
                      <a:picLocks noChangeAspect="1"/>
                    </pic:cNvPicPr>
                  </pic:nvPicPr>
                  <pic:blipFill>
                    <a:blip r:embed="rId74"/>
                    <a:stretch>
                      <a:fillRect/>
                    </a:stretch>
                  </pic:blipFill>
                  <pic:spPr>
                    <a:xfrm>
                      <a:off x="0" y="0"/>
                      <a:ext cx="7609205" cy="4614545"/>
                    </a:xfrm>
                    <a:prstGeom prst="rect">
                      <a:avLst/>
                    </a:prstGeom>
                    <a:noFill/>
                    <a:ln w="12700">
                      <a:noFill/>
                    </a:ln>
                  </pic:spPr>
                </pic:pic>
              </a:graphicData>
            </a:graphic>
          </wp:inline>
        </w:drawing>
      </w:r>
    </w:p>
    <w:p w14:paraId="2211AB60">
      <w:pPr>
        <w:pStyle w:val="33"/>
        <w:ind w:firstLine="0" w:firstLineChars="0"/>
        <w:jc w:val="center"/>
        <w:rPr>
          <w:color w:val="auto"/>
        </w:rPr>
      </w:pPr>
    </w:p>
    <w:p w14:paraId="3FF7D235">
      <w:pPr>
        <w:adjustRightInd w:val="0"/>
        <w:spacing w:line="360" w:lineRule="auto"/>
        <w:outlineLvl w:val="0"/>
        <w:rPr>
          <w:color w:val="auto"/>
          <w:sz w:val="24"/>
        </w:rPr>
      </w:pPr>
      <w:r>
        <w:rPr>
          <w:rFonts w:hint="eastAsia"/>
          <w:color w:val="auto"/>
          <w:sz w:val="24"/>
        </w:rPr>
        <w:t>附图</w:t>
      </w:r>
      <w:r>
        <w:rPr>
          <w:rFonts w:hint="eastAsia"/>
          <w:color w:val="auto"/>
          <w:sz w:val="24"/>
          <w:lang w:val="en-US" w:eastAsia="zh-CN"/>
        </w:rPr>
        <w:t>3</w:t>
      </w:r>
      <w:r>
        <w:rPr>
          <w:rFonts w:hint="eastAsia"/>
          <w:color w:val="auto"/>
          <w:sz w:val="24"/>
        </w:rPr>
        <w:t>：生态恢复措施图</w:t>
      </w:r>
    </w:p>
    <w:p w14:paraId="3B59A721">
      <w:pPr>
        <w:pStyle w:val="33"/>
        <w:ind w:firstLine="0" w:firstLineChars="0"/>
        <w:jc w:val="center"/>
        <w:rPr>
          <w:color w:val="auto"/>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eastAsia="仿宋"/>
          <w:b/>
          <w:color w:val="auto"/>
          <w:lang w:val="en-US"/>
        </w:rPr>
        <mc:AlternateContent>
          <mc:Choice Requires="wps">
            <w:drawing>
              <wp:anchor distT="0" distB="0" distL="114300" distR="114300" simplePos="0" relativeHeight="251659264" behindDoc="0" locked="0" layoutInCell="1" allowOverlap="1">
                <wp:simplePos x="0" y="0"/>
                <wp:positionH relativeFrom="column">
                  <wp:posOffset>4834255</wp:posOffset>
                </wp:positionH>
                <wp:positionV relativeFrom="paragraph">
                  <wp:posOffset>2919095</wp:posOffset>
                </wp:positionV>
                <wp:extent cx="1795145" cy="890270"/>
                <wp:effectExtent l="5080" t="1045845" r="9525" b="6985"/>
                <wp:wrapNone/>
                <wp:docPr id="51" name="矩形标注 47"/>
                <wp:cNvGraphicFramePr/>
                <a:graphic xmlns:a="http://schemas.openxmlformats.org/drawingml/2006/main">
                  <a:graphicData uri="http://schemas.microsoft.com/office/word/2010/wordprocessingShape">
                    <wps:wsp>
                      <wps:cNvSpPr/>
                      <wps:spPr>
                        <a:xfrm>
                          <a:off x="0" y="0"/>
                          <a:ext cx="1795145" cy="890270"/>
                        </a:xfrm>
                        <a:prstGeom prst="wedgeRectCallout">
                          <a:avLst>
                            <a:gd name="adj1" fmla="val -21666"/>
                            <a:gd name="adj2" fmla="val -164978"/>
                          </a:avLst>
                        </a:prstGeom>
                        <a:noFill/>
                        <a:ln w="9525" cap="flat" cmpd="sng">
                          <a:solidFill>
                            <a:srgbClr val="0000FF"/>
                          </a:solidFill>
                          <a:prstDash val="solid"/>
                          <a:miter lim="0"/>
                          <a:headEnd type="none" w="med" len="med"/>
                          <a:tailEnd type="none" w="med" len="med"/>
                        </a:ln>
                      </wps:spPr>
                      <wps:txbx>
                        <w:txbxContent>
                          <w:p w14:paraId="22FF2088">
                            <w:pPr>
                              <w:rPr>
                                <w:rFonts w:hint="eastAsia" w:ascii="宋体" w:hAnsi="宋体" w:eastAsia="宋体" w:cs="宋体"/>
                                <w:color w:val="FFFF00"/>
                                <w:szCs w:val="21"/>
                              </w:rPr>
                            </w:pPr>
                            <w:r>
                              <w:rPr>
                                <w:rFonts w:hint="eastAsia" w:ascii="宋体" w:hAnsi="宋体" w:cs="宋体"/>
                                <w:color w:val="FFFF00"/>
                                <w:szCs w:val="21"/>
                              </w:rPr>
                              <w:t>施工结束后，对施工临时占地，</w:t>
                            </w:r>
                            <w:r>
                              <w:rPr>
                                <w:rFonts w:hint="eastAsia" w:ascii="宋体" w:hAnsi="宋体" w:eastAsia="宋体" w:cs="宋体"/>
                                <w:color w:val="FFFF00"/>
                                <w:szCs w:val="21"/>
                              </w:rPr>
                              <w:t>采取天然恢复结合人工恢复和植被补植措施，种植</w:t>
                            </w:r>
                            <w:r>
                              <w:rPr>
                                <w:rFonts w:hint="default" w:ascii="宋体" w:hAnsi="宋体" w:eastAsia="宋体" w:cs="宋体"/>
                                <w:color w:val="FFFF00"/>
                                <w:szCs w:val="21"/>
                                <w:lang w:val="en-US" w:eastAsia="zh-CN"/>
                              </w:rPr>
                              <w:t>沙打旺、紫花苜蓿</w:t>
                            </w:r>
                          </w:p>
                        </w:txbxContent>
                      </wps:txbx>
                      <wps:bodyPr rot="0" vert="horz" wrap="square" lIns="91440" tIns="45720" rIns="91440" bIns="45720" anchor="t" anchorCtr="0"/>
                    </wps:wsp>
                  </a:graphicData>
                </a:graphic>
              </wp:anchor>
            </w:drawing>
          </mc:Choice>
          <mc:Fallback>
            <w:pict>
              <v:shape id="矩形标注 47" o:spid="_x0000_s1026" o:spt="61" type="#_x0000_t61" style="position:absolute;left:0pt;margin-left:380.65pt;margin-top:229.85pt;height:70.1pt;width:141.35pt;z-index:251659264;mso-width-relative:page;mso-height-relative:page;" filled="f" stroked="t" coordsize="21600,21600" o:gfxdata="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D3cA22gAAAAwBAAAPAAAAAAAAAAEAIAAAACIAAABkcnMvZG93bnJldi54&#10;bWxQSwECFAAUAAAACACHTuJAfu3RMWoCAADTBAAADgAAAAAAAAABACAAAAApAQAAZHJzL2Uyb0Rv&#10;Yy54bWxQSwUGAAAAAAYABgBZAQAABQYAAAAA&#10;" adj="6120,-24835">
                <v:fill on="f" focussize="0,0"/>
                <v:stroke color="#0000FF" miterlimit="0" joinstyle="miter"/>
                <v:imagedata o:title=""/>
                <o:lock v:ext="edit" aspectratio="f"/>
                <v:textbox>
                  <w:txbxContent>
                    <w:p w14:paraId="22FF2088">
                      <w:pPr>
                        <w:rPr>
                          <w:rFonts w:hint="eastAsia" w:ascii="宋体" w:hAnsi="宋体" w:eastAsia="宋体" w:cs="宋体"/>
                          <w:color w:val="FFFF00"/>
                          <w:szCs w:val="21"/>
                        </w:rPr>
                      </w:pPr>
                      <w:r>
                        <w:rPr>
                          <w:rFonts w:hint="eastAsia" w:ascii="宋体" w:hAnsi="宋体" w:cs="宋体"/>
                          <w:color w:val="FFFF00"/>
                          <w:szCs w:val="21"/>
                        </w:rPr>
                        <w:t>施工结束后，对施工临时占地，</w:t>
                      </w:r>
                      <w:r>
                        <w:rPr>
                          <w:rFonts w:hint="eastAsia" w:ascii="宋体" w:hAnsi="宋体" w:eastAsia="宋体" w:cs="宋体"/>
                          <w:color w:val="FFFF00"/>
                          <w:szCs w:val="21"/>
                        </w:rPr>
                        <w:t>采取天然恢复结合人工恢复和植被补植措施，种植</w:t>
                      </w:r>
                      <w:r>
                        <w:rPr>
                          <w:rFonts w:hint="default" w:ascii="宋体" w:hAnsi="宋体" w:eastAsia="宋体" w:cs="宋体"/>
                          <w:color w:val="FFFF00"/>
                          <w:szCs w:val="21"/>
                          <w:lang w:val="en-US" w:eastAsia="zh-CN"/>
                        </w:rPr>
                        <w:t>沙打旺、紫花苜蓿</w:t>
                      </w:r>
                    </w:p>
                  </w:txbxContent>
                </v:textbox>
              </v:shape>
            </w:pict>
          </mc:Fallback>
        </mc:AlternateContent>
      </w:r>
      <w:r>
        <w:rPr>
          <w:color w:val="auto"/>
        </w:rPr>
        <w:drawing>
          <wp:inline distT="0" distB="0" distL="114300" distR="114300">
            <wp:extent cx="6017895" cy="4561840"/>
            <wp:effectExtent l="0" t="0" r="1905" b="1016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
                    <pic:cNvPicPr>
                      <a:picLocks noChangeAspect="1"/>
                    </pic:cNvPicPr>
                  </pic:nvPicPr>
                  <pic:blipFill>
                    <a:blip r:embed="rId75"/>
                    <a:stretch>
                      <a:fillRect/>
                    </a:stretch>
                  </pic:blipFill>
                  <pic:spPr>
                    <a:xfrm>
                      <a:off x="0" y="0"/>
                      <a:ext cx="6017895" cy="4561840"/>
                    </a:xfrm>
                    <a:prstGeom prst="rect">
                      <a:avLst/>
                    </a:prstGeom>
                    <a:noFill/>
                    <a:ln>
                      <a:noFill/>
                    </a:ln>
                  </pic:spPr>
                </pic:pic>
              </a:graphicData>
            </a:graphic>
          </wp:inline>
        </w:drawing>
      </w:r>
    </w:p>
    <w:p w14:paraId="5BBF86E7">
      <w:pPr>
        <w:adjustRightInd w:val="0"/>
        <w:spacing w:line="360" w:lineRule="auto"/>
        <w:outlineLvl w:val="0"/>
        <w:rPr>
          <w:rFonts w:hint="eastAsia"/>
          <w:color w:val="auto"/>
          <w:sz w:val="24"/>
          <w:lang w:val="en-US" w:eastAsia="zh-CN"/>
        </w:rPr>
      </w:pPr>
      <w:r>
        <w:rPr>
          <w:rFonts w:hint="eastAsia"/>
          <w:color w:val="auto"/>
          <w:sz w:val="24"/>
          <w:lang w:val="en-US" w:eastAsia="zh-CN"/>
        </w:rPr>
        <w:t>附件4：监测点位图</w:t>
      </w:r>
    </w:p>
    <w:p w14:paraId="3919B90F">
      <w:pPr>
        <w:pStyle w:val="33"/>
        <w:ind w:firstLine="0" w:firstLineChars="0"/>
        <w:jc w:val="center"/>
        <w:rPr>
          <w:rFonts w:hint="default"/>
          <w:color w:val="auto"/>
          <w:lang w:val="en-US" w:eastAsia="zh-CN"/>
        </w:rPr>
      </w:pPr>
      <w:r>
        <w:rPr>
          <w:color w:val="auto"/>
        </w:rPr>
        <w:drawing>
          <wp:inline distT="0" distB="0" distL="114300" distR="114300">
            <wp:extent cx="7454265" cy="4658995"/>
            <wp:effectExtent l="0" t="0" r="13335" b="8255"/>
            <wp:docPr id="5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1"/>
                    <pic:cNvPicPr>
                      <a:picLocks noChangeAspect="1"/>
                    </pic:cNvPicPr>
                  </pic:nvPicPr>
                  <pic:blipFill>
                    <a:blip r:embed="rId76"/>
                    <a:stretch>
                      <a:fillRect/>
                    </a:stretch>
                  </pic:blipFill>
                  <pic:spPr>
                    <a:xfrm>
                      <a:off x="0" y="0"/>
                      <a:ext cx="7454265" cy="4658995"/>
                    </a:xfrm>
                    <a:prstGeom prst="rect">
                      <a:avLst/>
                    </a:prstGeom>
                    <a:noFill/>
                    <a:ln w="12700">
                      <a:noFill/>
                    </a:ln>
                  </pic:spPr>
                </pic:pic>
              </a:graphicData>
            </a:graphic>
          </wp:inline>
        </w:drawing>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1D8C3">
    <w:pPr>
      <w:pStyle w:val="12"/>
      <w:snapToGrid w:val="0"/>
      <w:jc w:val="left"/>
      <w:rPr>
        <w:rFonts w:eastAsia="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D5264">
    <w:pPr>
      <w:pStyle w:val="12"/>
      <w:snapToGrid w:val="0"/>
      <w:jc w:val="left"/>
      <w:rPr>
        <w:rFonts w:eastAsia="Times New Roman"/>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70" name="文本框 10"/>
              <wp:cNvGraphicFramePr/>
              <a:graphic xmlns:a="http://schemas.openxmlformats.org/drawingml/2006/main">
                <a:graphicData uri="http://schemas.microsoft.com/office/word/2010/wordprocessingShape">
                  <wps:wsp>
                    <wps:cNvSpPr txBox="1"/>
                    <wps:spPr>
                      <a:xfrm>
                        <a:off x="0" y="0"/>
                        <a:ext cx="114935" cy="132080"/>
                      </a:xfrm>
                      <a:prstGeom prst="rect">
                        <a:avLst/>
                      </a:prstGeom>
                      <a:noFill/>
                      <a:ln w="6350" cap="flat">
                        <a:noFill/>
                      </a:ln>
                    </wps:spPr>
                    <wps:style>
                      <a:lnRef idx="0">
                        <a:schemeClr val="accent1"/>
                      </a:lnRef>
                      <a:fillRef idx="0">
                        <a:schemeClr val="accent1"/>
                      </a:fillRef>
                      <a:effectRef idx="0">
                        <a:schemeClr val="accent1"/>
                      </a:effectRef>
                      <a:fontRef idx="minor">
                        <a:schemeClr val="dk1"/>
                      </a:fontRef>
                    </wps:style>
                    <wps:txbx>
                      <w:txbxContent>
                        <w:p w14:paraId="69B56D3E">
                          <w:pPr>
                            <w:pStyle w:val="12"/>
                            <w:snapToGrid w:val="0"/>
                            <w:jc w:val="left"/>
                            <w:rPr>
                              <w:rFonts w:eastAsia="Times New Roman"/>
                              <w:color w:val="000000"/>
                            </w:rPr>
                          </w:pPr>
                          <w:r>
                            <w:rPr>
                              <w:rFonts w:eastAsia="Times New Roman"/>
                              <w:color w:val="000000"/>
                            </w:rPr>
                            <w:fldChar w:fldCharType="begin"/>
                          </w:r>
                          <w:r>
                            <w:instrText xml:space="preserve">PAGE  \* MERGEFORMAT</w:instrText>
                          </w:r>
                          <w:r>
                            <w:fldChar w:fldCharType="separate"/>
                          </w:r>
                          <w:r>
                            <w:rPr>
                              <w:rFonts w:eastAsia="Times New Roman"/>
                              <w:color w:val="000000"/>
                            </w:rPr>
                            <w:t>1</w:t>
                          </w:r>
                          <w:r>
                            <w:rPr>
                              <w:rFonts w:eastAsia="Times New Roman"/>
                              <w:color w:val="000000"/>
                            </w:rPr>
                            <w:fldChar w:fldCharType="end"/>
                          </w:r>
                        </w:p>
                      </w:txbxContent>
                    </wps:txbx>
                    <wps:bodyPr rot="0" spcFirstLastPara="0" vertOverflow="overflow" horzOverflow="overflow" vert="horz" wrap="none" lIns="0" tIns="0" rIns="0" bIns="0" numCol="1" spcCol="0" rtlCol="0" fromWordArt="0" anchor="t" anchorCtr="0" forceAA="0" compatLnSpc="0">
                      <a:spAutoFit/>
                    </wps:bodyPr>
                  </wps:wsp>
                </a:graphicData>
              </a:graphic>
            </wp:anchor>
          </w:drawing>
        </mc:Choice>
        <mc:Fallback>
          <w:pict>
            <v:shape id="文本框 10" o:spid="_x0000_s1026" o:spt="202" type="#_x0000_t202"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kx+0b0QAAAAMBAAAPAAAAAAAAAAEAIAAAACIAAABkcnMvZG93bnJldi54bWxQ&#10;SwECFAAUAAAACACHTuJATAVYUjcCAABgBAAADgAAAAAAAAABACAAAAAgAQAAZHJzL2Uyb0RvYy54&#10;bWxQSwUGAAAAAAYABgBZAQAAyQUAAAAA&#10;">
              <v:fill on="f" focussize="0,0"/>
              <v:stroke on="f" weight="0.5pt"/>
              <v:imagedata o:title=""/>
              <o:lock v:ext="edit" aspectratio="f"/>
              <v:textbox inset="0mm,0mm,0mm,0mm" style="mso-fit-shape-to-text:t;">
                <w:txbxContent>
                  <w:p w14:paraId="69B56D3E">
                    <w:pPr>
                      <w:pStyle w:val="12"/>
                      <w:snapToGrid w:val="0"/>
                      <w:jc w:val="left"/>
                      <w:rPr>
                        <w:rFonts w:eastAsia="Times New Roman"/>
                        <w:color w:val="000000"/>
                      </w:rPr>
                    </w:pPr>
                    <w:r>
                      <w:rPr>
                        <w:rFonts w:eastAsia="Times New Roman"/>
                        <w:color w:val="000000"/>
                      </w:rPr>
                      <w:fldChar w:fldCharType="begin"/>
                    </w:r>
                    <w:r>
                      <w:instrText xml:space="preserve">PAGE  \* MERGEFORMAT</w:instrText>
                    </w:r>
                    <w:r>
                      <w:fldChar w:fldCharType="separate"/>
                    </w:r>
                    <w:r>
                      <w:rPr>
                        <w:rFonts w:eastAsia="Times New Roman"/>
                        <w:color w:val="000000"/>
                      </w:rPr>
                      <w:t>1</w:t>
                    </w:r>
                    <w:r>
                      <w:rPr>
                        <w:rFonts w:eastAsia="Times New Roman"/>
                        <w:color w:val="00000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DA118D"/>
    <w:multiLevelType w:val="singleLevel"/>
    <w:tmpl w:val="88DA118D"/>
    <w:lvl w:ilvl="0" w:tentative="0">
      <w:start w:val="1"/>
      <w:numFmt w:val="decimal"/>
      <w:lvlText w:val="%1."/>
      <w:lvlJc w:val="left"/>
      <w:pPr>
        <w:tabs>
          <w:tab w:val="left" w:pos="312"/>
        </w:tabs>
      </w:pPr>
    </w:lvl>
  </w:abstractNum>
  <w:abstractNum w:abstractNumId="1">
    <w:nsid w:val="531F0D95"/>
    <w:multiLevelType w:val="multilevel"/>
    <w:tmpl w:val="531F0D95"/>
    <w:lvl w:ilvl="0" w:tentative="0">
      <w:start w:val="1"/>
      <w:numFmt w:val="decimal"/>
      <w:pStyle w:val="60"/>
      <w:suff w:val="nothing"/>
      <w:lvlText w:val="图%1."/>
      <w:lvlJc w:val="left"/>
      <w:pPr>
        <w:ind w:left="420" w:hanging="420"/>
      </w:pPr>
      <w:rPr>
        <w:rFonts w:hint="eastAsia"/>
        <w:b/>
        <w:bCs w:val="0"/>
        <w:i w:val="0"/>
        <w:iCs w:val="0"/>
        <w:vanish/>
        <w:spacing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rPr>
    </w:lvl>
    <w:lvl w:ilvl="1" w:tentative="0">
      <w:start w:val="1"/>
      <w:numFmt w:val="lowerLetter"/>
      <w:lvlText w:val="%2)"/>
      <w:lvlJc w:val="left"/>
      <w:pPr>
        <w:ind w:left="4526" w:hanging="420"/>
      </w:pPr>
      <w:rPr>
        <w:rFonts w:hint="eastAsia"/>
      </w:rPr>
    </w:lvl>
    <w:lvl w:ilvl="2" w:tentative="0">
      <w:start w:val="1"/>
      <w:numFmt w:val="lowerRoman"/>
      <w:lvlText w:val="%3."/>
      <w:lvlJc w:val="right"/>
      <w:pPr>
        <w:ind w:left="4946" w:hanging="420"/>
      </w:pPr>
      <w:rPr>
        <w:rFonts w:hint="eastAsia"/>
      </w:rPr>
    </w:lvl>
    <w:lvl w:ilvl="3" w:tentative="0">
      <w:start w:val="1"/>
      <w:numFmt w:val="decimal"/>
      <w:lvlText w:val="%4."/>
      <w:lvlJc w:val="left"/>
      <w:pPr>
        <w:ind w:left="5366" w:hanging="420"/>
      </w:pPr>
      <w:rPr>
        <w:rFonts w:hint="eastAsia"/>
      </w:rPr>
    </w:lvl>
    <w:lvl w:ilvl="4" w:tentative="0">
      <w:start w:val="1"/>
      <w:numFmt w:val="lowerLetter"/>
      <w:lvlText w:val="%5)"/>
      <w:lvlJc w:val="left"/>
      <w:pPr>
        <w:ind w:left="5786" w:hanging="420"/>
      </w:pPr>
      <w:rPr>
        <w:rFonts w:hint="eastAsia"/>
      </w:rPr>
    </w:lvl>
    <w:lvl w:ilvl="5" w:tentative="0">
      <w:start w:val="1"/>
      <w:numFmt w:val="lowerRoman"/>
      <w:lvlText w:val="%6."/>
      <w:lvlJc w:val="right"/>
      <w:pPr>
        <w:ind w:left="6206" w:hanging="420"/>
      </w:pPr>
      <w:rPr>
        <w:rFonts w:hint="eastAsia"/>
      </w:rPr>
    </w:lvl>
    <w:lvl w:ilvl="6" w:tentative="0">
      <w:start w:val="1"/>
      <w:numFmt w:val="decimal"/>
      <w:lvlText w:val="%7."/>
      <w:lvlJc w:val="left"/>
      <w:pPr>
        <w:ind w:left="6626" w:hanging="420"/>
      </w:pPr>
      <w:rPr>
        <w:rFonts w:hint="eastAsia"/>
      </w:rPr>
    </w:lvl>
    <w:lvl w:ilvl="7" w:tentative="0">
      <w:start w:val="1"/>
      <w:numFmt w:val="lowerLetter"/>
      <w:lvlText w:val="%8)"/>
      <w:lvlJc w:val="left"/>
      <w:pPr>
        <w:ind w:left="7046" w:hanging="420"/>
      </w:pPr>
      <w:rPr>
        <w:rFonts w:hint="eastAsia"/>
      </w:rPr>
    </w:lvl>
    <w:lvl w:ilvl="8" w:tentative="0">
      <w:start w:val="1"/>
      <w:numFmt w:val="lowerRoman"/>
      <w:lvlText w:val="%9."/>
      <w:lvlJc w:val="right"/>
      <w:pPr>
        <w:ind w:left="7466"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6B6114"/>
    <w:rsid w:val="001033B8"/>
    <w:rsid w:val="002D330B"/>
    <w:rsid w:val="00382DEE"/>
    <w:rsid w:val="003917B3"/>
    <w:rsid w:val="004E66C5"/>
    <w:rsid w:val="00575144"/>
    <w:rsid w:val="005B40AE"/>
    <w:rsid w:val="00663F8D"/>
    <w:rsid w:val="007A4296"/>
    <w:rsid w:val="008B4327"/>
    <w:rsid w:val="008E2CDE"/>
    <w:rsid w:val="00902B75"/>
    <w:rsid w:val="00944650"/>
    <w:rsid w:val="009506BF"/>
    <w:rsid w:val="00A06B7A"/>
    <w:rsid w:val="00AA1A57"/>
    <w:rsid w:val="00B35E34"/>
    <w:rsid w:val="00BA1A55"/>
    <w:rsid w:val="00D907AB"/>
    <w:rsid w:val="00DC2648"/>
    <w:rsid w:val="01053408"/>
    <w:rsid w:val="01431A4A"/>
    <w:rsid w:val="016E28C5"/>
    <w:rsid w:val="016E2E7C"/>
    <w:rsid w:val="01A7647D"/>
    <w:rsid w:val="01D57088"/>
    <w:rsid w:val="01F42D45"/>
    <w:rsid w:val="02105DD0"/>
    <w:rsid w:val="02155544"/>
    <w:rsid w:val="021E44BA"/>
    <w:rsid w:val="02594EFF"/>
    <w:rsid w:val="02FE20CD"/>
    <w:rsid w:val="03092820"/>
    <w:rsid w:val="030F42DA"/>
    <w:rsid w:val="03135BEF"/>
    <w:rsid w:val="031B60F3"/>
    <w:rsid w:val="03B16C76"/>
    <w:rsid w:val="03DD3EFF"/>
    <w:rsid w:val="040274B6"/>
    <w:rsid w:val="040B70DC"/>
    <w:rsid w:val="04983E5B"/>
    <w:rsid w:val="049D6916"/>
    <w:rsid w:val="04A942BA"/>
    <w:rsid w:val="04B36222"/>
    <w:rsid w:val="05106400"/>
    <w:rsid w:val="0514287A"/>
    <w:rsid w:val="05575083"/>
    <w:rsid w:val="057B5C57"/>
    <w:rsid w:val="058D4CB4"/>
    <w:rsid w:val="059069AB"/>
    <w:rsid w:val="05942874"/>
    <w:rsid w:val="05B82AAB"/>
    <w:rsid w:val="05BD7BF2"/>
    <w:rsid w:val="05C1766B"/>
    <w:rsid w:val="05E7509A"/>
    <w:rsid w:val="06727999"/>
    <w:rsid w:val="06750C6D"/>
    <w:rsid w:val="068B641C"/>
    <w:rsid w:val="06C714DC"/>
    <w:rsid w:val="06F21103"/>
    <w:rsid w:val="0708351A"/>
    <w:rsid w:val="0765096C"/>
    <w:rsid w:val="076F17EB"/>
    <w:rsid w:val="07723089"/>
    <w:rsid w:val="07941252"/>
    <w:rsid w:val="07AB0349"/>
    <w:rsid w:val="07AB20F7"/>
    <w:rsid w:val="07B10567"/>
    <w:rsid w:val="07F9008A"/>
    <w:rsid w:val="081E7AA7"/>
    <w:rsid w:val="08297BEC"/>
    <w:rsid w:val="082E0D79"/>
    <w:rsid w:val="08440554"/>
    <w:rsid w:val="084A0BAD"/>
    <w:rsid w:val="088C3CD7"/>
    <w:rsid w:val="089E3A0A"/>
    <w:rsid w:val="08EE02B1"/>
    <w:rsid w:val="09016473"/>
    <w:rsid w:val="09262CA3"/>
    <w:rsid w:val="09656CCA"/>
    <w:rsid w:val="09933A31"/>
    <w:rsid w:val="09B47989"/>
    <w:rsid w:val="09DF56B6"/>
    <w:rsid w:val="09F5224A"/>
    <w:rsid w:val="0A026946"/>
    <w:rsid w:val="0A0271CF"/>
    <w:rsid w:val="0A2E3227"/>
    <w:rsid w:val="0A426CE3"/>
    <w:rsid w:val="0A9D5055"/>
    <w:rsid w:val="0B194E98"/>
    <w:rsid w:val="0B244D04"/>
    <w:rsid w:val="0B6158EF"/>
    <w:rsid w:val="0B865355"/>
    <w:rsid w:val="0B8B530E"/>
    <w:rsid w:val="0BC32105"/>
    <w:rsid w:val="0BE1258C"/>
    <w:rsid w:val="0C192B8C"/>
    <w:rsid w:val="0C4843B9"/>
    <w:rsid w:val="0CB77BE4"/>
    <w:rsid w:val="0CB91BBB"/>
    <w:rsid w:val="0CC86361"/>
    <w:rsid w:val="0CF4009D"/>
    <w:rsid w:val="0D026C5D"/>
    <w:rsid w:val="0D166265"/>
    <w:rsid w:val="0D2546FA"/>
    <w:rsid w:val="0D4A0C72"/>
    <w:rsid w:val="0D6B035F"/>
    <w:rsid w:val="0D806B6B"/>
    <w:rsid w:val="0D814026"/>
    <w:rsid w:val="0DB55A7E"/>
    <w:rsid w:val="0DC51F71"/>
    <w:rsid w:val="0E15476E"/>
    <w:rsid w:val="0E3947F9"/>
    <w:rsid w:val="0E400DC7"/>
    <w:rsid w:val="0E8B0D19"/>
    <w:rsid w:val="0E96765D"/>
    <w:rsid w:val="0EAF24CD"/>
    <w:rsid w:val="0EDD34DE"/>
    <w:rsid w:val="0EE4486D"/>
    <w:rsid w:val="0EE7435D"/>
    <w:rsid w:val="0EED3B7D"/>
    <w:rsid w:val="0EF658B5"/>
    <w:rsid w:val="0F1369A0"/>
    <w:rsid w:val="0F19203C"/>
    <w:rsid w:val="0F6129FF"/>
    <w:rsid w:val="0F7C2CF7"/>
    <w:rsid w:val="0F985657"/>
    <w:rsid w:val="0F9D5A7F"/>
    <w:rsid w:val="0FBA49F0"/>
    <w:rsid w:val="0FC3011B"/>
    <w:rsid w:val="0FD03043"/>
    <w:rsid w:val="0FDC19E8"/>
    <w:rsid w:val="10073D43"/>
    <w:rsid w:val="101007E8"/>
    <w:rsid w:val="10223FAC"/>
    <w:rsid w:val="10280789"/>
    <w:rsid w:val="104A4BA3"/>
    <w:rsid w:val="10B63FE7"/>
    <w:rsid w:val="10B9178E"/>
    <w:rsid w:val="10C36704"/>
    <w:rsid w:val="10C7659F"/>
    <w:rsid w:val="10CC55B8"/>
    <w:rsid w:val="10E32902"/>
    <w:rsid w:val="10E800B1"/>
    <w:rsid w:val="11052E76"/>
    <w:rsid w:val="112841B4"/>
    <w:rsid w:val="115C7831"/>
    <w:rsid w:val="11763776"/>
    <w:rsid w:val="11967A0F"/>
    <w:rsid w:val="11A02A7B"/>
    <w:rsid w:val="11A13B10"/>
    <w:rsid w:val="11A45D7E"/>
    <w:rsid w:val="11B34122"/>
    <w:rsid w:val="11E7231F"/>
    <w:rsid w:val="12192426"/>
    <w:rsid w:val="121C4812"/>
    <w:rsid w:val="122864D0"/>
    <w:rsid w:val="12402D1B"/>
    <w:rsid w:val="128E47CA"/>
    <w:rsid w:val="12C15E77"/>
    <w:rsid w:val="12D2261E"/>
    <w:rsid w:val="12E656F8"/>
    <w:rsid w:val="12E86716"/>
    <w:rsid w:val="12EF736D"/>
    <w:rsid w:val="12F47048"/>
    <w:rsid w:val="130C39BF"/>
    <w:rsid w:val="1315738E"/>
    <w:rsid w:val="13383F48"/>
    <w:rsid w:val="134206A5"/>
    <w:rsid w:val="134A310C"/>
    <w:rsid w:val="13633F0B"/>
    <w:rsid w:val="136C4E31"/>
    <w:rsid w:val="139059C1"/>
    <w:rsid w:val="13C31159"/>
    <w:rsid w:val="13D604FC"/>
    <w:rsid w:val="13D80718"/>
    <w:rsid w:val="13F45281"/>
    <w:rsid w:val="13F714C6"/>
    <w:rsid w:val="145C7AB5"/>
    <w:rsid w:val="148D505F"/>
    <w:rsid w:val="14922615"/>
    <w:rsid w:val="14952B42"/>
    <w:rsid w:val="14C44D32"/>
    <w:rsid w:val="14D42C8D"/>
    <w:rsid w:val="14D902A4"/>
    <w:rsid w:val="15DB4325"/>
    <w:rsid w:val="15E622AE"/>
    <w:rsid w:val="15F543F6"/>
    <w:rsid w:val="165212F8"/>
    <w:rsid w:val="16596A26"/>
    <w:rsid w:val="16610551"/>
    <w:rsid w:val="166C50CF"/>
    <w:rsid w:val="167E7C81"/>
    <w:rsid w:val="16802117"/>
    <w:rsid w:val="169A1CB5"/>
    <w:rsid w:val="169F1079"/>
    <w:rsid w:val="16A26FB5"/>
    <w:rsid w:val="16C67138"/>
    <w:rsid w:val="171001C9"/>
    <w:rsid w:val="171C6B6E"/>
    <w:rsid w:val="172F4478"/>
    <w:rsid w:val="176F246E"/>
    <w:rsid w:val="177B5642"/>
    <w:rsid w:val="177F201A"/>
    <w:rsid w:val="1789725A"/>
    <w:rsid w:val="17B61722"/>
    <w:rsid w:val="17BF39F1"/>
    <w:rsid w:val="18316649"/>
    <w:rsid w:val="183A54FD"/>
    <w:rsid w:val="18455C50"/>
    <w:rsid w:val="186343CD"/>
    <w:rsid w:val="18AA6B24"/>
    <w:rsid w:val="18D877F0"/>
    <w:rsid w:val="18E558E7"/>
    <w:rsid w:val="18F7512B"/>
    <w:rsid w:val="18FF4051"/>
    <w:rsid w:val="19655830"/>
    <w:rsid w:val="196A07E8"/>
    <w:rsid w:val="197B53D3"/>
    <w:rsid w:val="197B5DCD"/>
    <w:rsid w:val="198A4263"/>
    <w:rsid w:val="19C74A3D"/>
    <w:rsid w:val="19DE010A"/>
    <w:rsid w:val="1A001180"/>
    <w:rsid w:val="1A077661"/>
    <w:rsid w:val="1A085187"/>
    <w:rsid w:val="1A18361C"/>
    <w:rsid w:val="1A191AB2"/>
    <w:rsid w:val="1A442663"/>
    <w:rsid w:val="1A8962C8"/>
    <w:rsid w:val="1AB01DBB"/>
    <w:rsid w:val="1B0B6531"/>
    <w:rsid w:val="1B0D514B"/>
    <w:rsid w:val="1B1A511C"/>
    <w:rsid w:val="1B79633D"/>
    <w:rsid w:val="1B9A5E9D"/>
    <w:rsid w:val="1BBC5D0B"/>
    <w:rsid w:val="1BD95505"/>
    <w:rsid w:val="1BF22C95"/>
    <w:rsid w:val="1C0227D6"/>
    <w:rsid w:val="1C37285C"/>
    <w:rsid w:val="1C3F6E01"/>
    <w:rsid w:val="1C5B3C94"/>
    <w:rsid w:val="1CBD66FD"/>
    <w:rsid w:val="1CE2139F"/>
    <w:rsid w:val="1CE55B19"/>
    <w:rsid w:val="1CF2284B"/>
    <w:rsid w:val="1D4F157D"/>
    <w:rsid w:val="1D632E00"/>
    <w:rsid w:val="1D6628F1"/>
    <w:rsid w:val="1D7A3387"/>
    <w:rsid w:val="1D7E18EE"/>
    <w:rsid w:val="1DA11B7B"/>
    <w:rsid w:val="1DA64B03"/>
    <w:rsid w:val="1DBA0B1F"/>
    <w:rsid w:val="1DD43B4A"/>
    <w:rsid w:val="1DD66A3B"/>
    <w:rsid w:val="1DE3360D"/>
    <w:rsid w:val="1E320868"/>
    <w:rsid w:val="1E432C32"/>
    <w:rsid w:val="1E4D16C6"/>
    <w:rsid w:val="1E5143D4"/>
    <w:rsid w:val="1E723BE5"/>
    <w:rsid w:val="1E731769"/>
    <w:rsid w:val="1ECC70CB"/>
    <w:rsid w:val="1EDA3596"/>
    <w:rsid w:val="1EFA3C38"/>
    <w:rsid w:val="1F6A2B6C"/>
    <w:rsid w:val="1F884DA0"/>
    <w:rsid w:val="1F9C6A9E"/>
    <w:rsid w:val="1FB738D7"/>
    <w:rsid w:val="1FBE20C7"/>
    <w:rsid w:val="1FC115DD"/>
    <w:rsid w:val="20054643"/>
    <w:rsid w:val="20672C8E"/>
    <w:rsid w:val="20753912"/>
    <w:rsid w:val="20765541"/>
    <w:rsid w:val="208209E1"/>
    <w:rsid w:val="20C20DBD"/>
    <w:rsid w:val="20FE42D5"/>
    <w:rsid w:val="211B39F2"/>
    <w:rsid w:val="212706AF"/>
    <w:rsid w:val="212A129A"/>
    <w:rsid w:val="21AD6D12"/>
    <w:rsid w:val="21F20BF7"/>
    <w:rsid w:val="22426FD3"/>
    <w:rsid w:val="22762CC9"/>
    <w:rsid w:val="228D71DB"/>
    <w:rsid w:val="229B303C"/>
    <w:rsid w:val="22B440FE"/>
    <w:rsid w:val="22F75627"/>
    <w:rsid w:val="234D55AB"/>
    <w:rsid w:val="23607DE2"/>
    <w:rsid w:val="238373C8"/>
    <w:rsid w:val="239B591F"/>
    <w:rsid w:val="23C44815"/>
    <w:rsid w:val="23F21EA7"/>
    <w:rsid w:val="24A049AB"/>
    <w:rsid w:val="24D62E06"/>
    <w:rsid w:val="25537BFE"/>
    <w:rsid w:val="25AE6DC0"/>
    <w:rsid w:val="25B61F3B"/>
    <w:rsid w:val="25CC175F"/>
    <w:rsid w:val="25EB6089"/>
    <w:rsid w:val="26054D70"/>
    <w:rsid w:val="26075CA4"/>
    <w:rsid w:val="263B573D"/>
    <w:rsid w:val="26500373"/>
    <w:rsid w:val="2677303F"/>
    <w:rsid w:val="26A46896"/>
    <w:rsid w:val="26E41932"/>
    <w:rsid w:val="26E44A40"/>
    <w:rsid w:val="270D36B3"/>
    <w:rsid w:val="27207FB4"/>
    <w:rsid w:val="272C6959"/>
    <w:rsid w:val="273D0B66"/>
    <w:rsid w:val="27F21951"/>
    <w:rsid w:val="280318BF"/>
    <w:rsid w:val="28230A0D"/>
    <w:rsid w:val="283006CB"/>
    <w:rsid w:val="2866443A"/>
    <w:rsid w:val="28726769"/>
    <w:rsid w:val="288B5901"/>
    <w:rsid w:val="28955B56"/>
    <w:rsid w:val="28BB61E6"/>
    <w:rsid w:val="29064F88"/>
    <w:rsid w:val="291C47AB"/>
    <w:rsid w:val="293E5DCA"/>
    <w:rsid w:val="296C74E1"/>
    <w:rsid w:val="297D524A"/>
    <w:rsid w:val="29F63BB7"/>
    <w:rsid w:val="29FF1359"/>
    <w:rsid w:val="2A1060BE"/>
    <w:rsid w:val="2A7319B6"/>
    <w:rsid w:val="2A9867EC"/>
    <w:rsid w:val="2AC05D36"/>
    <w:rsid w:val="2AC871C9"/>
    <w:rsid w:val="2B5A5B1B"/>
    <w:rsid w:val="2B5B15BB"/>
    <w:rsid w:val="2B6916C7"/>
    <w:rsid w:val="2B801021"/>
    <w:rsid w:val="2BBB02AC"/>
    <w:rsid w:val="2BC5704C"/>
    <w:rsid w:val="2BE56243"/>
    <w:rsid w:val="2C527DA2"/>
    <w:rsid w:val="2C8C155C"/>
    <w:rsid w:val="2CA04FCF"/>
    <w:rsid w:val="2CAC371C"/>
    <w:rsid w:val="2CC633AC"/>
    <w:rsid w:val="2CCD64E8"/>
    <w:rsid w:val="2CD3775D"/>
    <w:rsid w:val="2CDA0C05"/>
    <w:rsid w:val="2D3C541C"/>
    <w:rsid w:val="2D3D1686"/>
    <w:rsid w:val="2D426ED6"/>
    <w:rsid w:val="2D5024A8"/>
    <w:rsid w:val="2D8F2EBB"/>
    <w:rsid w:val="2DAD2ACA"/>
    <w:rsid w:val="2DD165A9"/>
    <w:rsid w:val="2E083AD2"/>
    <w:rsid w:val="2E1D6FFC"/>
    <w:rsid w:val="2E3834A7"/>
    <w:rsid w:val="2E39231C"/>
    <w:rsid w:val="2E5549E7"/>
    <w:rsid w:val="2E917F80"/>
    <w:rsid w:val="2EAF0838"/>
    <w:rsid w:val="2EB67EB2"/>
    <w:rsid w:val="2EBD258D"/>
    <w:rsid w:val="2EC872D9"/>
    <w:rsid w:val="2EE713B8"/>
    <w:rsid w:val="2F031ED4"/>
    <w:rsid w:val="2F294A06"/>
    <w:rsid w:val="2F4E4DC1"/>
    <w:rsid w:val="2F4F40C6"/>
    <w:rsid w:val="2F7606D5"/>
    <w:rsid w:val="2F875074"/>
    <w:rsid w:val="2FA23C5C"/>
    <w:rsid w:val="3040133C"/>
    <w:rsid w:val="30AF7E29"/>
    <w:rsid w:val="30B11C7D"/>
    <w:rsid w:val="30D50061"/>
    <w:rsid w:val="30E2196A"/>
    <w:rsid w:val="30EE2ED1"/>
    <w:rsid w:val="31374F41"/>
    <w:rsid w:val="315B61CA"/>
    <w:rsid w:val="31645CD3"/>
    <w:rsid w:val="31CA749A"/>
    <w:rsid w:val="31EA3699"/>
    <w:rsid w:val="3233071B"/>
    <w:rsid w:val="327F64D7"/>
    <w:rsid w:val="32CB34CA"/>
    <w:rsid w:val="330F7979"/>
    <w:rsid w:val="33233306"/>
    <w:rsid w:val="333D715D"/>
    <w:rsid w:val="335E015B"/>
    <w:rsid w:val="3388623D"/>
    <w:rsid w:val="33B03794"/>
    <w:rsid w:val="33B201E6"/>
    <w:rsid w:val="33B421B0"/>
    <w:rsid w:val="33C07C3D"/>
    <w:rsid w:val="340C5B48"/>
    <w:rsid w:val="34452E08"/>
    <w:rsid w:val="34D66F41"/>
    <w:rsid w:val="34F565DC"/>
    <w:rsid w:val="35044A71"/>
    <w:rsid w:val="355E67DA"/>
    <w:rsid w:val="356279EA"/>
    <w:rsid w:val="35931348"/>
    <w:rsid w:val="35E0728C"/>
    <w:rsid w:val="35F42D38"/>
    <w:rsid w:val="36105698"/>
    <w:rsid w:val="3610591A"/>
    <w:rsid w:val="36365592"/>
    <w:rsid w:val="3652180C"/>
    <w:rsid w:val="36582D5A"/>
    <w:rsid w:val="36B05259"/>
    <w:rsid w:val="36B734DE"/>
    <w:rsid w:val="36B85B13"/>
    <w:rsid w:val="36D81314"/>
    <w:rsid w:val="37105528"/>
    <w:rsid w:val="372E1A6B"/>
    <w:rsid w:val="373A0C1E"/>
    <w:rsid w:val="37EC6130"/>
    <w:rsid w:val="384C1C42"/>
    <w:rsid w:val="385265D9"/>
    <w:rsid w:val="385272C9"/>
    <w:rsid w:val="385414E6"/>
    <w:rsid w:val="38663170"/>
    <w:rsid w:val="38A30A45"/>
    <w:rsid w:val="38CA7D80"/>
    <w:rsid w:val="38F27BDF"/>
    <w:rsid w:val="390E10E6"/>
    <w:rsid w:val="39162FC5"/>
    <w:rsid w:val="391905F6"/>
    <w:rsid w:val="391F00CC"/>
    <w:rsid w:val="397A3C7D"/>
    <w:rsid w:val="3995038E"/>
    <w:rsid w:val="39B75867"/>
    <w:rsid w:val="39BA7DF4"/>
    <w:rsid w:val="39BF3FC6"/>
    <w:rsid w:val="39FF7EFD"/>
    <w:rsid w:val="3A117575"/>
    <w:rsid w:val="3A3758E9"/>
    <w:rsid w:val="3A540410"/>
    <w:rsid w:val="3A931AC6"/>
    <w:rsid w:val="3A9B14B0"/>
    <w:rsid w:val="3AB413D1"/>
    <w:rsid w:val="3ACB5912"/>
    <w:rsid w:val="3AE01ADD"/>
    <w:rsid w:val="3B6049CB"/>
    <w:rsid w:val="3B851344"/>
    <w:rsid w:val="3BFE6198"/>
    <w:rsid w:val="3C0B116B"/>
    <w:rsid w:val="3C0D4B53"/>
    <w:rsid w:val="3C0E4D2A"/>
    <w:rsid w:val="3C124CB3"/>
    <w:rsid w:val="3C215F09"/>
    <w:rsid w:val="3C3245BA"/>
    <w:rsid w:val="3C3F0879"/>
    <w:rsid w:val="3C441B1A"/>
    <w:rsid w:val="3C552056"/>
    <w:rsid w:val="3C727434"/>
    <w:rsid w:val="3C7E15AD"/>
    <w:rsid w:val="3CC639DF"/>
    <w:rsid w:val="3CC82E64"/>
    <w:rsid w:val="3CCA4A24"/>
    <w:rsid w:val="3CDB2774"/>
    <w:rsid w:val="3D1D247A"/>
    <w:rsid w:val="3D2E4D81"/>
    <w:rsid w:val="3D533C2B"/>
    <w:rsid w:val="3D6B6114"/>
    <w:rsid w:val="3D6F7DAF"/>
    <w:rsid w:val="3D793B23"/>
    <w:rsid w:val="3D7D7AB7"/>
    <w:rsid w:val="3D8C44DD"/>
    <w:rsid w:val="3D8C4CBC"/>
    <w:rsid w:val="3D9372DA"/>
    <w:rsid w:val="3D9F17A1"/>
    <w:rsid w:val="3DCA4AF6"/>
    <w:rsid w:val="3DDA0A65"/>
    <w:rsid w:val="3E08667F"/>
    <w:rsid w:val="3E0C5AC9"/>
    <w:rsid w:val="3E1C0F46"/>
    <w:rsid w:val="3E88226F"/>
    <w:rsid w:val="3ED10977"/>
    <w:rsid w:val="3EE431D2"/>
    <w:rsid w:val="3EF155CC"/>
    <w:rsid w:val="3F1461F9"/>
    <w:rsid w:val="3F1E2BD3"/>
    <w:rsid w:val="3F2902E2"/>
    <w:rsid w:val="3F3360DA"/>
    <w:rsid w:val="3F485EA2"/>
    <w:rsid w:val="3F4C155F"/>
    <w:rsid w:val="3FA10125"/>
    <w:rsid w:val="40073429"/>
    <w:rsid w:val="400E2C48"/>
    <w:rsid w:val="4085585F"/>
    <w:rsid w:val="40880D29"/>
    <w:rsid w:val="40970E8F"/>
    <w:rsid w:val="40B76E3C"/>
    <w:rsid w:val="40CB6D8B"/>
    <w:rsid w:val="40DC68A2"/>
    <w:rsid w:val="40E47132"/>
    <w:rsid w:val="40EF750C"/>
    <w:rsid w:val="410A1648"/>
    <w:rsid w:val="4116765B"/>
    <w:rsid w:val="414D77A0"/>
    <w:rsid w:val="419C4171"/>
    <w:rsid w:val="41B31CF9"/>
    <w:rsid w:val="41BD5053"/>
    <w:rsid w:val="41EA1493"/>
    <w:rsid w:val="427D40B5"/>
    <w:rsid w:val="42EE467F"/>
    <w:rsid w:val="430E5FBA"/>
    <w:rsid w:val="433F5964"/>
    <w:rsid w:val="43574906"/>
    <w:rsid w:val="43B41D58"/>
    <w:rsid w:val="43FE71D2"/>
    <w:rsid w:val="440D0C33"/>
    <w:rsid w:val="44410A09"/>
    <w:rsid w:val="4441183E"/>
    <w:rsid w:val="44413DD0"/>
    <w:rsid w:val="44A02888"/>
    <w:rsid w:val="44F328D9"/>
    <w:rsid w:val="45264590"/>
    <w:rsid w:val="45303661"/>
    <w:rsid w:val="455E01CE"/>
    <w:rsid w:val="46024FFD"/>
    <w:rsid w:val="46476064"/>
    <w:rsid w:val="46911EDD"/>
    <w:rsid w:val="469D0882"/>
    <w:rsid w:val="47280A93"/>
    <w:rsid w:val="473C62ED"/>
    <w:rsid w:val="473D2B66"/>
    <w:rsid w:val="4740255C"/>
    <w:rsid w:val="47444A9A"/>
    <w:rsid w:val="47562B05"/>
    <w:rsid w:val="475B1EC9"/>
    <w:rsid w:val="477D5E4F"/>
    <w:rsid w:val="47A33674"/>
    <w:rsid w:val="47D05003"/>
    <w:rsid w:val="47DA3EE8"/>
    <w:rsid w:val="48083BA2"/>
    <w:rsid w:val="48157C28"/>
    <w:rsid w:val="482118F4"/>
    <w:rsid w:val="48362D3C"/>
    <w:rsid w:val="4839282C"/>
    <w:rsid w:val="4851401A"/>
    <w:rsid w:val="48853CC3"/>
    <w:rsid w:val="48A630C4"/>
    <w:rsid w:val="49003E49"/>
    <w:rsid w:val="492F11EC"/>
    <w:rsid w:val="494B2817"/>
    <w:rsid w:val="49753D38"/>
    <w:rsid w:val="4A1A7C20"/>
    <w:rsid w:val="4A1B48DF"/>
    <w:rsid w:val="4A4438A2"/>
    <w:rsid w:val="4A5012E1"/>
    <w:rsid w:val="4A6004AB"/>
    <w:rsid w:val="4A6F4C2B"/>
    <w:rsid w:val="4A802994"/>
    <w:rsid w:val="4ACA10BA"/>
    <w:rsid w:val="4B1B0E84"/>
    <w:rsid w:val="4B69272C"/>
    <w:rsid w:val="4BC46B49"/>
    <w:rsid w:val="4BD74836"/>
    <w:rsid w:val="4BEA7E5D"/>
    <w:rsid w:val="4C0D64AA"/>
    <w:rsid w:val="4C1710D6"/>
    <w:rsid w:val="4C51366B"/>
    <w:rsid w:val="4C9E06E1"/>
    <w:rsid w:val="4CBA010D"/>
    <w:rsid w:val="4CC73D9F"/>
    <w:rsid w:val="4CE4531B"/>
    <w:rsid w:val="4D072EF9"/>
    <w:rsid w:val="4D275AF4"/>
    <w:rsid w:val="4D4373FC"/>
    <w:rsid w:val="4D5117AD"/>
    <w:rsid w:val="4E092CA1"/>
    <w:rsid w:val="4E4D1705"/>
    <w:rsid w:val="4E7B2CAE"/>
    <w:rsid w:val="4EB56EB8"/>
    <w:rsid w:val="4EFD45B3"/>
    <w:rsid w:val="4F0040A4"/>
    <w:rsid w:val="4F083BE4"/>
    <w:rsid w:val="4F0A0A7E"/>
    <w:rsid w:val="4F29184C"/>
    <w:rsid w:val="4FA9228A"/>
    <w:rsid w:val="4FAC02E3"/>
    <w:rsid w:val="4FD317B8"/>
    <w:rsid w:val="50113D68"/>
    <w:rsid w:val="5029376E"/>
    <w:rsid w:val="503A35E5"/>
    <w:rsid w:val="508A7E45"/>
    <w:rsid w:val="508B2225"/>
    <w:rsid w:val="509D54FC"/>
    <w:rsid w:val="50CA4969"/>
    <w:rsid w:val="50CD1D3A"/>
    <w:rsid w:val="50CE3907"/>
    <w:rsid w:val="50D13F4A"/>
    <w:rsid w:val="510A4FE4"/>
    <w:rsid w:val="51131A4D"/>
    <w:rsid w:val="511429EF"/>
    <w:rsid w:val="5133153D"/>
    <w:rsid w:val="51453FF0"/>
    <w:rsid w:val="51525DA8"/>
    <w:rsid w:val="516A4212"/>
    <w:rsid w:val="5184720E"/>
    <w:rsid w:val="518F36A5"/>
    <w:rsid w:val="51C44251"/>
    <w:rsid w:val="51E8779D"/>
    <w:rsid w:val="524452D8"/>
    <w:rsid w:val="525F5585"/>
    <w:rsid w:val="526130AB"/>
    <w:rsid w:val="5285323E"/>
    <w:rsid w:val="528F55CE"/>
    <w:rsid w:val="52C8137C"/>
    <w:rsid w:val="532760A3"/>
    <w:rsid w:val="53327F40"/>
    <w:rsid w:val="53360094"/>
    <w:rsid w:val="534C79D0"/>
    <w:rsid w:val="5356266C"/>
    <w:rsid w:val="5358625C"/>
    <w:rsid w:val="535A21DB"/>
    <w:rsid w:val="53BA6580"/>
    <w:rsid w:val="53BD6A07"/>
    <w:rsid w:val="53BE1870"/>
    <w:rsid w:val="5429409D"/>
    <w:rsid w:val="54464D71"/>
    <w:rsid w:val="54805F39"/>
    <w:rsid w:val="54B27BEE"/>
    <w:rsid w:val="54B416B4"/>
    <w:rsid w:val="54FD481A"/>
    <w:rsid w:val="55286102"/>
    <w:rsid w:val="552A59D6"/>
    <w:rsid w:val="558A4E30"/>
    <w:rsid w:val="5596069B"/>
    <w:rsid w:val="55AA6B17"/>
    <w:rsid w:val="55BB6F76"/>
    <w:rsid w:val="55D23DAF"/>
    <w:rsid w:val="563A5C76"/>
    <w:rsid w:val="569862EE"/>
    <w:rsid w:val="56AC249A"/>
    <w:rsid w:val="56AC7A7F"/>
    <w:rsid w:val="56C16B53"/>
    <w:rsid w:val="57315742"/>
    <w:rsid w:val="576079B5"/>
    <w:rsid w:val="57655DBD"/>
    <w:rsid w:val="577A4652"/>
    <w:rsid w:val="57967CC2"/>
    <w:rsid w:val="57A0638E"/>
    <w:rsid w:val="57CC7219"/>
    <w:rsid w:val="5827444F"/>
    <w:rsid w:val="58277C82"/>
    <w:rsid w:val="583C439E"/>
    <w:rsid w:val="58495B44"/>
    <w:rsid w:val="58690F0C"/>
    <w:rsid w:val="586A523D"/>
    <w:rsid w:val="588619CE"/>
    <w:rsid w:val="5890605B"/>
    <w:rsid w:val="58C31436"/>
    <w:rsid w:val="58CF36EE"/>
    <w:rsid w:val="58DE044A"/>
    <w:rsid w:val="591A2BA2"/>
    <w:rsid w:val="59232E69"/>
    <w:rsid w:val="5973309F"/>
    <w:rsid w:val="59D54EBF"/>
    <w:rsid w:val="59F438F2"/>
    <w:rsid w:val="5A1F4B06"/>
    <w:rsid w:val="5A40175F"/>
    <w:rsid w:val="5A4A08C9"/>
    <w:rsid w:val="5A5509C9"/>
    <w:rsid w:val="5A7058A2"/>
    <w:rsid w:val="5A785436"/>
    <w:rsid w:val="5A946B2A"/>
    <w:rsid w:val="5AAE0E58"/>
    <w:rsid w:val="5AB32912"/>
    <w:rsid w:val="5ACB7407"/>
    <w:rsid w:val="5AFC1BC3"/>
    <w:rsid w:val="5B0B381E"/>
    <w:rsid w:val="5B113F82"/>
    <w:rsid w:val="5B322A36"/>
    <w:rsid w:val="5B4A4CE2"/>
    <w:rsid w:val="5B622079"/>
    <w:rsid w:val="5B713FCB"/>
    <w:rsid w:val="5B82245A"/>
    <w:rsid w:val="5B8B6EA9"/>
    <w:rsid w:val="5BBB7CD0"/>
    <w:rsid w:val="5BC8419B"/>
    <w:rsid w:val="5BF16D52"/>
    <w:rsid w:val="5C441A74"/>
    <w:rsid w:val="5C5253A0"/>
    <w:rsid w:val="5C936557"/>
    <w:rsid w:val="5CBB60A7"/>
    <w:rsid w:val="5CC42F66"/>
    <w:rsid w:val="5D3F5DB4"/>
    <w:rsid w:val="5D647EF4"/>
    <w:rsid w:val="5D9500AD"/>
    <w:rsid w:val="5D99378D"/>
    <w:rsid w:val="5DB16193"/>
    <w:rsid w:val="5E1444C9"/>
    <w:rsid w:val="5EA52572"/>
    <w:rsid w:val="5ECC3EF6"/>
    <w:rsid w:val="5F2142EE"/>
    <w:rsid w:val="5F3062DF"/>
    <w:rsid w:val="5F814D8D"/>
    <w:rsid w:val="5F93061C"/>
    <w:rsid w:val="5F936224"/>
    <w:rsid w:val="5FDC5F0C"/>
    <w:rsid w:val="6021698A"/>
    <w:rsid w:val="60547127"/>
    <w:rsid w:val="60745817"/>
    <w:rsid w:val="60D46106"/>
    <w:rsid w:val="610B0DB2"/>
    <w:rsid w:val="611A7247"/>
    <w:rsid w:val="611D1E16"/>
    <w:rsid w:val="61727C75"/>
    <w:rsid w:val="618172C6"/>
    <w:rsid w:val="61971C41"/>
    <w:rsid w:val="61EE72BF"/>
    <w:rsid w:val="620905D3"/>
    <w:rsid w:val="62133014"/>
    <w:rsid w:val="62712E97"/>
    <w:rsid w:val="627F48F3"/>
    <w:rsid w:val="62A25746"/>
    <w:rsid w:val="62A55A08"/>
    <w:rsid w:val="62AA0157"/>
    <w:rsid w:val="630E0567"/>
    <w:rsid w:val="63415428"/>
    <w:rsid w:val="635B41F8"/>
    <w:rsid w:val="636F378B"/>
    <w:rsid w:val="63876475"/>
    <w:rsid w:val="63901A42"/>
    <w:rsid w:val="63A177AC"/>
    <w:rsid w:val="63B3128D"/>
    <w:rsid w:val="63DA2CBD"/>
    <w:rsid w:val="6401024A"/>
    <w:rsid w:val="64030141"/>
    <w:rsid w:val="644B5929"/>
    <w:rsid w:val="64846B9B"/>
    <w:rsid w:val="64990483"/>
    <w:rsid w:val="64AD03D2"/>
    <w:rsid w:val="64EB4C0B"/>
    <w:rsid w:val="65046244"/>
    <w:rsid w:val="650F4D62"/>
    <w:rsid w:val="6589535A"/>
    <w:rsid w:val="659351D0"/>
    <w:rsid w:val="65A2780B"/>
    <w:rsid w:val="65D1099A"/>
    <w:rsid w:val="65E240AB"/>
    <w:rsid w:val="65EB7404"/>
    <w:rsid w:val="660202AA"/>
    <w:rsid w:val="66081D64"/>
    <w:rsid w:val="660C2CC7"/>
    <w:rsid w:val="665A1299"/>
    <w:rsid w:val="665A5DC5"/>
    <w:rsid w:val="665C3E5E"/>
    <w:rsid w:val="666F1DE3"/>
    <w:rsid w:val="66A20140"/>
    <w:rsid w:val="66B6677D"/>
    <w:rsid w:val="66D439F4"/>
    <w:rsid w:val="66DE03BE"/>
    <w:rsid w:val="67185FD7"/>
    <w:rsid w:val="67580AC9"/>
    <w:rsid w:val="676576C6"/>
    <w:rsid w:val="67864D49"/>
    <w:rsid w:val="678E45EA"/>
    <w:rsid w:val="678E6299"/>
    <w:rsid w:val="679247E2"/>
    <w:rsid w:val="67F00D02"/>
    <w:rsid w:val="67FB7983"/>
    <w:rsid w:val="681A18DB"/>
    <w:rsid w:val="681C08FD"/>
    <w:rsid w:val="683A1F7D"/>
    <w:rsid w:val="68410DF6"/>
    <w:rsid w:val="68703BF0"/>
    <w:rsid w:val="68836406"/>
    <w:rsid w:val="68857E17"/>
    <w:rsid w:val="688B67A6"/>
    <w:rsid w:val="688F051A"/>
    <w:rsid w:val="689A55A6"/>
    <w:rsid w:val="68B910F3"/>
    <w:rsid w:val="68C42A6D"/>
    <w:rsid w:val="693115D2"/>
    <w:rsid w:val="69824841"/>
    <w:rsid w:val="69AF5F2D"/>
    <w:rsid w:val="69E83014"/>
    <w:rsid w:val="6A161CCC"/>
    <w:rsid w:val="6A527A52"/>
    <w:rsid w:val="6A5A4B58"/>
    <w:rsid w:val="6A9B6316"/>
    <w:rsid w:val="6AA620F6"/>
    <w:rsid w:val="6AF723A7"/>
    <w:rsid w:val="6B1D005F"/>
    <w:rsid w:val="6B3656C5"/>
    <w:rsid w:val="6B655079"/>
    <w:rsid w:val="6B6C4B43"/>
    <w:rsid w:val="6B822F1F"/>
    <w:rsid w:val="6BAC3B39"/>
    <w:rsid w:val="6C0250FA"/>
    <w:rsid w:val="6C300DB3"/>
    <w:rsid w:val="6C38329C"/>
    <w:rsid w:val="6C427652"/>
    <w:rsid w:val="6C775714"/>
    <w:rsid w:val="6CB322FE"/>
    <w:rsid w:val="6CB95B66"/>
    <w:rsid w:val="6CD24E7A"/>
    <w:rsid w:val="6D0225F5"/>
    <w:rsid w:val="6D142D9C"/>
    <w:rsid w:val="6D5C2995"/>
    <w:rsid w:val="6D91187F"/>
    <w:rsid w:val="6DB60126"/>
    <w:rsid w:val="6DE25D78"/>
    <w:rsid w:val="6E397FB2"/>
    <w:rsid w:val="6E53384B"/>
    <w:rsid w:val="6E5D495E"/>
    <w:rsid w:val="6E665189"/>
    <w:rsid w:val="6E753B82"/>
    <w:rsid w:val="6E7A1325"/>
    <w:rsid w:val="6E8508A9"/>
    <w:rsid w:val="6E8C1058"/>
    <w:rsid w:val="6EDC1FE0"/>
    <w:rsid w:val="6F196D90"/>
    <w:rsid w:val="6F4059E0"/>
    <w:rsid w:val="6FC32CD4"/>
    <w:rsid w:val="6FF55349"/>
    <w:rsid w:val="6FFD48DD"/>
    <w:rsid w:val="7055323B"/>
    <w:rsid w:val="706D598E"/>
    <w:rsid w:val="70801293"/>
    <w:rsid w:val="708A15C7"/>
    <w:rsid w:val="709A5CAE"/>
    <w:rsid w:val="70A52770"/>
    <w:rsid w:val="70A73F27"/>
    <w:rsid w:val="70C8281B"/>
    <w:rsid w:val="70F95682"/>
    <w:rsid w:val="71080E6A"/>
    <w:rsid w:val="710D560A"/>
    <w:rsid w:val="712D4214"/>
    <w:rsid w:val="713939C9"/>
    <w:rsid w:val="713D663A"/>
    <w:rsid w:val="71533639"/>
    <w:rsid w:val="71557E27"/>
    <w:rsid w:val="71683B72"/>
    <w:rsid w:val="71687B5B"/>
    <w:rsid w:val="71862DFF"/>
    <w:rsid w:val="71C254BD"/>
    <w:rsid w:val="71C70D25"/>
    <w:rsid w:val="71D32236"/>
    <w:rsid w:val="71DA0B5A"/>
    <w:rsid w:val="726266B3"/>
    <w:rsid w:val="72AD735C"/>
    <w:rsid w:val="72BA43E6"/>
    <w:rsid w:val="73256EF4"/>
    <w:rsid w:val="733F4494"/>
    <w:rsid w:val="73B35627"/>
    <w:rsid w:val="73ED4347"/>
    <w:rsid w:val="741F4D58"/>
    <w:rsid w:val="74666159"/>
    <w:rsid w:val="74666652"/>
    <w:rsid w:val="74782345"/>
    <w:rsid w:val="747A0F11"/>
    <w:rsid w:val="74873851"/>
    <w:rsid w:val="74E71186"/>
    <w:rsid w:val="750018F0"/>
    <w:rsid w:val="75093403"/>
    <w:rsid w:val="75241FEA"/>
    <w:rsid w:val="752C7F86"/>
    <w:rsid w:val="752E7228"/>
    <w:rsid w:val="7533321B"/>
    <w:rsid w:val="753D30AC"/>
    <w:rsid w:val="75462466"/>
    <w:rsid w:val="75610B49"/>
    <w:rsid w:val="7568637B"/>
    <w:rsid w:val="75865EA6"/>
    <w:rsid w:val="758F1B5A"/>
    <w:rsid w:val="7621477C"/>
    <w:rsid w:val="764364A0"/>
    <w:rsid w:val="7656089D"/>
    <w:rsid w:val="76954FF4"/>
    <w:rsid w:val="76B3090A"/>
    <w:rsid w:val="76BB072D"/>
    <w:rsid w:val="76BB4B7F"/>
    <w:rsid w:val="76C375E1"/>
    <w:rsid w:val="76DA5057"/>
    <w:rsid w:val="7718641E"/>
    <w:rsid w:val="771E4C3D"/>
    <w:rsid w:val="774B7D02"/>
    <w:rsid w:val="7765101C"/>
    <w:rsid w:val="779F356A"/>
    <w:rsid w:val="77AA1844"/>
    <w:rsid w:val="77B23E47"/>
    <w:rsid w:val="7803783E"/>
    <w:rsid w:val="78087762"/>
    <w:rsid w:val="78491B75"/>
    <w:rsid w:val="78713799"/>
    <w:rsid w:val="78764386"/>
    <w:rsid w:val="78B85320"/>
    <w:rsid w:val="78DB077D"/>
    <w:rsid w:val="78E421BD"/>
    <w:rsid w:val="791800B8"/>
    <w:rsid w:val="793D7FB3"/>
    <w:rsid w:val="79582B35"/>
    <w:rsid w:val="797272AE"/>
    <w:rsid w:val="797F1EE5"/>
    <w:rsid w:val="79955DF8"/>
    <w:rsid w:val="79D815F5"/>
    <w:rsid w:val="79DC699D"/>
    <w:rsid w:val="79E826CD"/>
    <w:rsid w:val="79F92ADB"/>
    <w:rsid w:val="7A077F60"/>
    <w:rsid w:val="7A3B22B0"/>
    <w:rsid w:val="7A5F5873"/>
    <w:rsid w:val="7A6510DB"/>
    <w:rsid w:val="7AC261F8"/>
    <w:rsid w:val="7AD33409"/>
    <w:rsid w:val="7ADE68DB"/>
    <w:rsid w:val="7AE67292"/>
    <w:rsid w:val="7AFB1A3F"/>
    <w:rsid w:val="7B1F0E69"/>
    <w:rsid w:val="7B274934"/>
    <w:rsid w:val="7B9929B2"/>
    <w:rsid w:val="7BC03683"/>
    <w:rsid w:val="7BCC0CE6"/>
    <w:rsid w:val="7BE424D4"/>
    <w:rsid w:val="7C1A7CA3"/>
    <w:rsid w:val="7C74308D"/>
    <w:rsid w:val="7C8F2B0F"/>
    <w:rsid w:val="7CDE6741"/>
    <w:rsid w:val="7D1C7A4B"/>
    <w:rsid w:val="7D2B245D"/>
    <w:rsid w:val="7D2F45E8"/>
    <w:rsid w:val="7DA02DDA"/>
    <w:rsid w:val="7DEA624B"/>
    <w:rsid w:val="7DEB5D9B"/>
    <w:rsid w:val="7E5E37B9"/>
    <w:rsid w:val="7E997AC0"/>
    <w:rsid w:val="7F0D3AEF"/>
    <w:rsid w:val="7F127358"/>
    <w:rsid w:val="7F2C21C7"/>
    <w:rsid w:val="7F5E57EA"/>
    <w:rsid w:val="7F80048F"/>
    <w:rsid w:val="7F8D7835"/>
    <w:rsid w:val="7F946A34"/>
    <w:rsid w:val="7FB14DC3"/>
    <w:rsid w:val="7FCA3544"/>
    <w:rsid w:val="7FDD7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7" w:semiHidden="0" w:name="heading 1"/>
    <w:lsdException w:uiPriority="99" w:name="heading 2"/>
    <w:lsdException w:uiPriority="99" w:name="heading 3"/>
    <w:lsdException w:qFormat="1" w:unhideWhenUsed="0" w:uiPriority="9" w:semiHidden="0" w:name="heading 4"/>
    <w:lsdException w:qFormat="1" w:uiPriority="0" w:semiHidden="0"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qFormat="1" w:unhideWhenUsed="0" w:uiPriority="0" w:semiHidden="0" w:name="annotation text"/>
    <w:lsdException w:qFormat="1" w:unhideWhenUsed="0" w:uiPriority="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0"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qFormat="1"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qFormat="1" w:uiPriority="99" w:semiHidden="0" w:name="Body Text Indent 2"/>
    <w:lsdException w:unhideWhenUsed="0" w:uiPriority="99" w:semiHidden="0" w:name="Body Text Indent 3"/>
    <w:lsdException w:unhideWhenUsed="0" w:uiPriority="99" w:semiHidden="0" w:name="Block Text"/>
    <w:lsdException w:qFormat="1" w:unhideWhenUsed="0" w:uiPriority="0"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7"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qFormat/>
    <w:uiPriority w:val="7"/>
    <w:pPr>
      <w:keepNext/>
      <w:keepLines/>
      <w:widowControl/>
      <w:outlineLvl w:val="0"/>
    </w:pPr>
    <w:rPr>
      <w:b/>
      <w:sz w:val="44"/>
      <w:szCs w:val="44"/>
    </w:rPr>
  </w:style>
  <w:style w:type="paragraph" w:styleId="3">
    <w:name w:val="heading 4"/>
    <w:basedOn w:val="1"/>
    <w:next w:val="1"/>
    <w:qFormat/>
    <w:uiPriority w:val="9"/>
    <w:pPr>
      <w:keepNext/>
      <w:keepLines/>
      <w:jc w:val="left"/>
      <w:outlineLvl w:val="3"/>
    </w:pPr>
    <w:rPr>
      <w:bCs/>
      <w:kern w:val="0"/>
      <w:szCs w:val="28"/>
    </w:rPr>
  </w:style>
  <w:style w:type="paragraph" w:styleId="4">
    <w:name w:val="heading 5"/>
    <w:basedOn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3"/>
    <w:qFormat/>
    <w:uiPriority w:val="0"/>
    <w:pPr>
      <w:widowControl/>
      <w:ind w:firstLine="420"/>
    </w:pPr>
  </w:style>
  <w:style w:type="paragraph" w:styleId="6">
    <w:name w:val="annotation text"/>
    <w:basedOn w:val="1"/>
    <w:link w:val="45"/>
    <w:qFormat/>
    <w:uiPriority w:val="0"/>
    <w:pPr>
      <w:jc w:val="left"/>
    </w:pPr>
  </w:style>
  <w:style w:type="paragraph" w:styleId="7">
    <w:name w:val="Body Text"/>
    <w:basedOn w:val="1"/>
    <w:next w:val="1"/>
    <w:qFormat/>
    <w:uiPriority w:val="0"/>
    <w:pPr>
      <w:spacing w:after="120"/>
    </w:pPr>
  </w:style>
  <w:style w:type="paragraph" w:styleId="8">
    <w:name w:val="Body Text Indent"/>
    <w:basedOn w:val="1"/>
    <w:qFormat/>
    <w:uiPriority w:val="0"/>
    <w:pPr>
      <w:spacing w:after="120"/>
      <w:ind w:left="420" w:leftChars="200"/>
    </w:pPr>
  </w:style>
  <w:style w:type="paragraph" w:styleId="9">
    <w:name w:val="Plain Text"/>
    <w:basedOn w:val="1"/>
    <w:qFormat/>
    <w:uiPriority w:val="0"/>
    <w:rPr>
      <w:rFonts w:ascii="宋体" w:hAnsi="Courier New"/>
      <w:kern w:val="0"/>
      <w:sz w:val="20"/>
      <w:szCs w:val="20"/>
    </w:rPr>
  </w:style>
  <w:style w:type="paragraph" w:styleId="10">
    <w:name w:val="Body Text Indent 2"/>
    <w:basedOn w:val="1"/>
    <w:unhideWhenUsed/>
    <w:qFormat/>
    <w:uiPriority w:val="99"/>
    <w:pPr>
      <w:spacing w:after="120" w:line="480" w:lineRule="auto"/>
      <w:ind w:left="420" w:leftChars="200"/>
    </w:pPr>
  </w:style>
  <w:style w:type="paragraph" w:styleId="11">
    <w:name w:val="Balloon Text"/>
    <w:basedOn w:val="1"/>
    <w:link w:val="44"/>
    <w:qFormat/>
    <w:uiPriority w:val="0"/>
    <w:rPr>
      <w:sz w:val="18"/>
      <w:szCs w:val="18"/>
    </w:rPr>
  </w:style>
  <w:style w:type="paragraph" w:styleId="12">
    <w:name w:val="footer"/>
    <w:basedOn w:val="1"/>
    <w:qFormat/>
    <w:uiPriority w:val="0"/>
    <w:pPr>
      <w:widowControl/>
      <w:tabs>
        <w:tab w:val="center" w:pos="4153"/>
        <w:tab w:val="right" w:pos="8306"/>
      </w:tabs>
    </w:pPr>
    <w:rPr>
      <w:sz w:val="18"/>
      <w:szCs w:val="18"/>
    </w:rPr>
  </w:style>
  <w:style w:type="paragraph" w:styleId="13">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14">
    <w:name w:val="List"/>
    <w:basedOn w:val="1"/>
    <w:unhideWhenUsed/>
    <w:qFormat/>
    <w:uiPriority w:val="99"/>
    <w:pPr>
      <w:ind w:left="200" w:hanging="200" w:hangingChars="200"/>
    </w:pPr>
    <w:rPr>
      <w:szCs w:val="21"/>
    </w:rPr>
  </w:style>
  <w:style w:type="paragraph" w:styleId="15">
    <w:name w:val="Normal (Web)"/>
    <w:basedOn w:val="1"/>
    <w:qFormat/>
    <w:uiPriority w:val="0"/>
    <w:pPr>
      <w:widowControl/>
    </w:pPr>
    <w:rPr>
      <w:rFonts w:ascii="宋体" w:hAnsi="宋体"/>
      <w:sz w:val="24"/>
    </w:rPr>
  </w:style>
  <w:style w:type="paragraph" w:styleId="16">
    <w:name w:val="annotation subject"/>
    <w:basedOn w:val="6"/>
    <w:link w:val="46"/>
    <w:qFormat/>
    <w:uiPriority w:val="0"/>
    <w:rPr>
      <w:b/>
      <w:bCs/>
    </w:rPr>
  </w:style>
  <w:style w:type="paragraph" w:styleId="17">
    <w:name w:val="Body Text First Indent"/>
    <w:basedOn w:val="7"/>
    <w:qFormat/>
    <w:uiPriority w:val="0"/>
    <w:pPr>
      <w:ind w:firstLine="420" w:firstLineChars="100"/>
    </w:pPr>
  </w:style>
  <w:style w:type="paragraph" w:styleId="18">
    <w:name w:val="Body Text First Indent 2"/>
    <w:basedOn w:val="8"/>
    <w:qFormat/>
    <w:uiPriority w:val="0"/>
    <w:pPr>
      <w:ind w:firstLine="420"/>
    </w:pPr>
  </w:style>
  <w:style w:type="table" w:styleId="20">
    <w:name w:val="Table Grid"/>
    <w:basedOn w:val="19"/>
    <w:qFormat/>
    <w:uiPriority w:val="37"/>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表头"/>
    <w:basedOn w:val="26"/>
    <w:next w:val="1"/>
    <w:qFormat/>
    <w:uiPriority w:val="0"/>
    <w:pPr>
      <w:jc w:val="center"/>
    </w:pPr>
    <w:rPr>
      <w:rFonts w:ascii="Calibri" w:hAnsi="Calibri" w:cs="Times New Roman"/>
      <w:b/>
      <w:kern w:val="0"/>
      <w:szCs w:val="20"/>
    </w:rPr>
  </w:style>
  <w:style w:type="paragraph" w:customStyle="1" w:styleId="26">
    <w:name w:val="正文（我）"/>
    <w:basedOn w:val="1"/>
    <w:qFormat/>
    <w:uiPriority w:val="0"/>
    <w:pPr>
      <w:ind w:firstLine="200" w:firstLineChars="200"/>
      <w:jc w:val="left"/>
    </w:pPr>
    <w:rPr>
      <w:rFonts w:cs="Arial"/>
      <w:szCs w:val="21"/>
    </w:rPr>
  </w:style>
  <w:style w:type="paragraph" w:customStyle="1" w:styleId="27">
    <w:name w:val="Default"/>
    <w:basedOn w:val="28"/>
    <w:qFormat/>
    <w:uiPriority w:val="99"/>
    <w:pPr>
      <w:widowControl w:val="0"/>
      <w:tabs>
        <w:tab w:val="left" w:pos="0"/>
        <w:tab w:val="left" w:pos="7012"/>
      </w:tabs>
      <w:autoSpaceDE w:val="0"/>
      <w:autoSpaceDN w:val="0"/>
      <w:adjustRightInd w:val="0"/>
      <w:jc w:val="center"/>
    </w:pPr>
    <w:rPr>
      <w:rFonts w:ascii="宋体" w:hAnsi="Times New Roman" w:eastAsia="宋体" w:cs="Times New Roman"/>
      <w:color w:val="000000"/>
      <w:sz w:val="24"/>
      <w:szCs w:val="24"/>
      <w:lang w:val="en-US" w:eastAsia="zh-CN" w:bidi="ar-SA"/>
    </w:rPr>
  </w:style>
  <w:style w:type="paragraph" w:customStyle="1" w:styleId="28">
    <w:name w:val="环保正文"/>
    <w:basedOn w:val="1"/>
    <w:qFormat/>
    <w:uiPriority w:val="0"/>
    <w:pPr>
      <w:tabs>
        <w:tab w:val="left" w:pos="0"/>
        <w:tab w:val="left" w:pos="7012"/>
      </w:tabs>
      <w:spacing w:line="360" w:lineRule="auto"/>
      <w:ind w:firstLine="200"/>
    </w:pPr>
    <w:rPr>
      <w:rFonts w:ascii="宋体" w:hAnsi="宋体" w:cs="宋体"/>
      <w:kern w:val="1"/>
      <w:sz w:val="24"/>
    </w:rPr>
  </w:style>
  <w:style w:type="paragraph" w:customStyle="1" w:styleId="29">
    <w:name w:val="样式35"/>
    <w:basedOn w:val="1"/>
    <w:qFormat/>
    <w:uiPriority w:val="0"/>
    <w:pPr>
      <w:adjustRightInd w:val="0"/>
      <w:spacing w:line="312" w:lineRule="auto"/>
      <w:ind w:firstLine="567"/>
    </w:pPr>
    <w:rPr>
      <w:rFonts w:ascii="宋体"/>
      <w:kern w:val="0"/>
      <w:sz w:val="28"/>
    </w:rPr>
  </w:style>
  <w:style w:type="paragraph" w:customStyle="1" w:styleId="30">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31">
    <w:name w:val="样式 正文缩进正文缩进2正文缩进 Char Char正文缩进 Char Char Char Char正文缩进 Char ..."/>
    <w:basedOn w:val="5"/>
    <w:qFormat/>
    <w:uiPriority w:val="0"/>
    <w:pPr>
      <w:ind w:firstLine="200"/>
    </w:pPr>
    <w:rPr>
      <w:rFonts w:ascii="宋体" w:hAnsi="宋体" w:cstheme="minorBidi"/>
      <w:sz w:val="20"/>
      <w:szCs w:val="20"/>
    </w:rPr>
  </w:style>
  <w:style w:type="paragraph" w:customStyle="1" w:styleId="32">
    <w:name w:val="xl27"/>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customStyle="1" w:styleId="33">
    <w:name w:val="[1]正文"/>
    <w:basedOn w:val="1"/>
    <w:qFormat/>
    <w:uiPriority w:val="0"/>
    <w:pPr>
      <w:autoSpaceDE w:val="0"/>
      <w:autoSpaceDN w:val="0"/>
      <w:ind w:firstLine="200" w:firstLineChars="200"/>
    </w:pPr>
    <w:rPr>
      <w:color w:val="000000"/>
      <w:kern w:val="0"/>
      <w:lang w:val="zh-CN"/>
    </w:rPr>
  </w:style>
  <w:style w:type="paragraph" w:customStyle="1" w:styleId="34">
    <w:name w:val="高-表头"/>
    <w:basedOn w:val="1"/>
    <w:qFormat/>
    <w:uiPriority w:val="0"/>
    <w:pPr>
      <w:widowControl/>
      <w:jc w:val="center"/>
    </w:pPr>
    <w:rPr>
      <w:b/>
      <w:sz w:val="20"/>
      <w:szCs w:val="20"/>
    </w:rPr>
  </w:style>
  <w:style w:type="table" w:customStyle="1" w:styleId="35">
    <w:name w:val="样式1"/>
    <w:basedOn w:val="19"/>
    <w:qFormat/>
    <w:uiPriority w:val="99"/>
    <w:pPr>
      <w:jc w:val="center"/>
    </w:pPr>
    <w:rPr>
      <w:sz w:val="21"/>
    </w:rPr>
    <w:tblPr>
      <w:tblBorders>
        <w:top w:val="single" w:color="auto" w:sz="12" w:space="0"/>
        <w:bottom w:val="single" w:color="auto" w:sz="12" w:space="0"/>
        <w:insideH w:val="single" w:color="auto" w:sz="4" w:space="0"/>
        <w:insideV w:val="single" w:color="auto" w:sz="4" w:space="0"/>
      </w:tblBorders>
    </w:tblPr>
    <w:tcPr>
      <w:vAlign w:val="center"/>
    </w:tcPr>
  </w:style>
  <w:style w:type="paragraph" w:customStyle="1" w:styleId="36">
    <w:name w:val="table content"/>
    <w:qFormat/>
    <w:uiPriority w:val="0"/>
    <w:pPr>
      <w:jc w:val="center"/>
    </w:pPr>
    <w:rPr>
      <w:rFonts w:ascii="Times New Roman" w:hAnsi="Times New Roman" w:eastAsia="宋体" w:cstheme="minorBidi"/>
      <w:kern w:val="2"/>
      <w:sz w:val="21"/>
      <w:szCs w:val="22"/>
      <w:lang w:val="en-US" w:eastAsia="zh-CN" w:bidi="ar-SA"/>
    </w:rPr>
  </w:style>
  <w:style w:type="paragraph" w:customStyle="1" w:styleId="37">
    <w:name w:val="表格文字"/>
    <w:basedOn w:val="38"/>
    <w:qFormat/>
    <w:uiPriority w:val="99"/>
    <w:pPr>
      <w:tabs>
        <w:tab w:val="left" w:pos="0"/>
        <w:tab w:val="left" w:pos="7012"/>
      </w:tabs>
    </w:pPr>
    <w:rPr>
      <w:rFonts w:ascii="Times New Roman"/>
      <w:sz w:val="21"/>
      <w:szCs w:val="20"/>
    </w:rPr>
  </w:style>
  <w:style w:type="paragraph" w:customStyle="1" w:styleId="38">
    <w:name w:val="正文1"/>
    <w:basedOn w:val="27"/>
    <w:qFormat/>
    <w:uiPriority w:val="99"/>
    <w:pPr>
      <w:snapToGrid w:val="0"/>
    </w:pPr>
  </w:style>
  <w:style w:type="paragraph" w:customStyle="1" w:styleId="39">
    <w:name w:val="1"/>
    <w:basedOn w:val="1"/>
    <w:qFormat/>
    <w:uiPriority w:val="0"/>
    <w:pPr>
      <w:spacing w:line="360" w:lineRule="auto"/>
      <w:ind w:firstLine="200" w:firstLineChars="200"/>
    </w:pPr>
    <w:rPr>
      <w:rFonts w:cs="Courier New"/>
      <w:sz w:val="24"/>
      <w:szCs w:val="21"/>
    </w:rPr>
  </w:style>
  <w:style w:type="paragraph" w:customStyle="1" w:styleId="40">
    <w:name w:val="列出段落1"/>
    <w:basedOn w:val="1"/>
    <w:qFormat/>
    <w:uiPriority w:val="34"/>
    <w:pPr>
      <w:spacing w:beforeLines="50" w:line="360" w:lineRule="auto"/>
      <w:ind w:firstLine="420" w:firstLineChars="200"/>
      <w:outlineLvl w:val="3"/>
    </w:pPr>
    <w:rPr>
      <w:rFonts w:ascii="宋体" w:hAnsi="宋体" w:eastAsia="等线"/>
      <w:b/>
      <w:sz w:val="24"/>
    </w:rPr>
  </w:style>
  <w:style w:type="paragraph" w:customStyle="1" w:styleId="41">
    <w:name w:val="HP表格"/>
    <w:basedOn w:val="1"/>
    <w:qFormat/>
    <w:uiPriority w:val="0"/>
    <w:pPr>
      <w:widowControl/>
      <w:jc w:val="center"/>
    </w:pPr>
    <w:rPr>
      <w:color w:val="000000"/>
      <w:szCs w:val="21"/>
    </w:rPr>
  </w:style>
  <w:style w:type="paragraph" w:customStyle="1" w:styleId="42">
    <w:name w:val="表文字"/>
    <w:qFormat/>
    <w:uiPriority w:val="0"/>
    <w:pPr>
      <w:widowControl w:val="0"/>
      <w:spacing w:line="240" w:lineRule="exact"/>
      <w:jc w:val="center"/>
    </w:pPr>
    <w:rPr>
      <w:rFonts w:ascii="Times New Roman" w:hAnsi="Times New Roman" w:eastAsia="宋体" w:cs="Times New Roman"/>
      <w:w w:val="95"/>
      <w:sz w:val="24"/>
      <w:lang w:val="en-US" w:eastAsia="zh-CN" w:bidi="ar-SA"/>
    </w:rPr>
  </w:style>
  <w:style w:type="paragraph" w:customStyle="1" w:styleId="43">
    <w:name w:val="Table Paragraph"/>
    <w:basedOn w:val="1"/>
    <w:qFormat/>
    <w:uiPriority w:val="1"/>
    <w:pPr>
      <w:spacing w:before="77"/>
      <w:jc w:val="right"/>
    </w:pPr>
    <w:rPr>
      <w:rFonts w:ascii="宋体" w:hAnsi="宋体" w:cs="宋体"/>
      <w:lang w:val="zh-CN" w:bidi="zh-CN"/>
    </w:rPr>
  </w:style>
  <w:style w:type="character" w:customStyle="1" w:styleId="44">
    <w:name w:val="批注框文本 字符"/>
    <w:basedOn w:val="21"/>
    <w:link w:val="11"/>
    <w:qFormat/>
    <w:uiPriority w:val="0"/>
    <w:rPr>
      <w:kern w:val="2"/>
      <w:sz w:val="18"/>
      <w:szCs w:val="18"/>
    </w:rPr>
  </w:style>
  <w:style w:type="character" w:customStyle="1" w:styleId="45">
    <w:name w:val="批注文字 字符"/>
    <w:basedOn w:val="21"/>
    <w:link w:val="6"/>
    <w:qFormat/>
    <w:uiPriority w:val="0"/>
    <w:rPr>
      <w:kern w:val="2"/>
      <w:sz w:val="21"/>
      <w:szCs w:val="24"/>
    </w:rPr>
  </w:style>
  <w:style w:type="character" w:customStyle="1" w:styleId="46">
    <w:name w:val="批注主题 字符"/>
    <w:basedOn w:val="45"/>
    <w:link w:val="16"/>
    <w:qFormat/>
    <w:uiPriority w:val="0"/>
    <w:rPr>
      <w:b/>
      <w:bCs/>
      <w:kern w:val="2"/>
      <w:sz w:val="21"/>
      <w:szCs w:val="24"/>
    </w:rPr>
  </w:style>
  <w:style w:type="paragraph" w:customStyle="1" w:styleId="47">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48">
    <w:name w:val="表头2"/>
    <w:basedOn w:val="33"/>
    <w:qFormat/>
    <w:uiPriority w:val="0"/>
    <w:pPr>
      <w:ind w:firstLine="0" w:firstLineChars="0"/>
      <w:jc w:val="center"/>
    </w:pPr>
    <w:rPr>
      <w:rFonts w:eastAsia="Times New Roman"/>
      <w:b/>
    </w:rPr>
  </w:style>
  <w:style w:type="paragraph" w:customStyle="1" w:styleId="49">
    <w:name w:val="表格内容1"/>
    <w:basedOn w:val="33"/>
    <w:qFormat/>
    <w:uiPriority w:val="0"/>
    <w:pPr>
      <w:ind w:firstLine="0" w:firstLineChars="0"/>
      <w:jc w:val="center"/>
    </w:pPr>
    <w:rPr>
      <w:szCs w:val="21"/>
    </w:rPr>
  </w:style>
  <w:style w:type="paragraph" w:customStyle="1" w:styleId="50">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51">
    <w:name w:val="正文样式1"/>
    <w:basedOn w:val="1"/>
    <w:qFormat/>
    <w:uiPriority w:val="0"/>
    <w:pPr>
      <w:spacing w:line="360" w:lineRule="auto"/>
      <w:ind w:firstLine="480"/>
    </w:pPr>
    <w:rPr>
      <w:rFonts w:ascii="宋体"/>
      <w:color w:val="auto"/>
      <w:szCs w:val="20"/>
    </w:rPr>
  </w:style>
  <w:style w:type="paragraph" w:customStyle="1" w:styleId="52">
    <w:name w:val="正文01"/>
    <w:basedOn w:val="1"/>
    <w:qFormat/>
    <w:uiPriority w:val="0"/>
    <w:pPr>
      <w:spacing w:before="60" w:line="460" w:lineRule="exact"/>
    </w:pPr>
    <w:rPr>
      <w:color w:val="auto"/>
    </w:rPr>
  </w:style>
  <w:style w:type="paragraph" w:customStyle="1" w:styleId="53">
    <w:name w:val="表内"/>
    <w:basedOn w:val="1"/>
    <w:qFormat/>
    <w:uiPriority w:val="0"/>
    <w:pPr>
      <w:widowControl w:val="0"/>
      <w:adjustRightInd w:val="0"/>
      <w:snapToGrid w:val="0"/>
      <w:spacing w:line="240" w:lineRule="auto"/>
      <w:ind w:firstLine="0" w:firstLineChars="0"/>
    </w:pPr>
    <w:rPr>
      <w:rFonts w:cs="Times New Roman"/>
      <w:kern w:val="2"/>
      <w:sz w:val="21"/>
      <w:szCs w:val="24"/>
    </w:rPr>
  </w:style>
  <w:style w:type="table" w:customStyle="1" w:styleId="54">
    <w:name w:val="Table Normal"/>
    <w:unhideWhenUsed/>
    <w:qFormat/>
    <w:uiPriority w:val="0"/>
    <w:tblPr>
      <w:tblCellMar>
        <w:top w:w="0" w:type="dxa"/>
        <w:left w:w="0" w:type="dxa"/>
        <w:bottom w:w="0" w:type="dxa"/>
        <w:right w:w="0" w:type="dxa"/>
      </w:tblCellMar>
    </w:tblPr>
  </w:style>
  <w:style w:type="paragraph" w:styleId="55">
    <w:name w:val="List Paragraph"/>
    <w:basedOn w:val="1"/>
    <w:qFormat/>
    <w:uiPriority w:val="34"/>
    <w:pPr>
      <w:ind w:firstLine="420" w:firstLineChars="200"/>
    </w:pPr>
  </w:style>
  <w:style w:type="paragraph" w:customStyle="1" w:styleId="56">
    <w:name w:val="Table Text"/>
    <w:basedOn w:val="1"/>
    <w:semiHidden/>
    <w:qFormat/>
    <w:uiPriority w:val="0"/>
    <w:rPr>
      <w:rFonts w:ascii="仿宋" w:hAnsi="仿宋" w:eastAsia="仿宋" w:cs="仿宋"/>
      <w:sz w:val="24"/>
      <w:szCs w:val="24"/>
      <w:lang w:val="en-US" w:eastAsia="en-US" w:bidi="ar-SA"/>
    </w:rPr>
  </w:style>
  <w:style w:type="paragraph" w:customStyle="1" w:styleId="57">
    <w:name w:val="表格"/>
    <w:qFormat/>
    <w:uiPriority w:val="0"/>
    <w:pPr>
      <w:adjustRightInd w:val="0"/>
      <w:snapToGrid w:val="0"/>
      <w:spacing w:line="300" w:lineRule="exact"/>
      <w:jc w:val="center"/>
    </w:pPr>
    <w:rPr>
      <w:rFonts w:ascii="Times New Roman" w:hAnsi="Times New Roman" w:eastAsia="宋体" w:cs="Times New Roman"/>
      <w:sz w:val="21"/>
      <w:lang w:val="en-US" w:eastAsia="zh-CN" w:bidi="ar-SA"/>
    </w:rPr>
  </w:style>
  <w:style w:type="table" w:customStyle="1" w:styleId="58">
    <w:name w:val="三线表"/>
    <w:basedOn w:val="19"/>
    <w:qFormat/>
    <w:uiPriority w:val="99"/>
    <w:pPr>
      <w:adjustRightInd w:val="0"/>
      <w:snapToGrid w:val="0"/>
      <w:jc w:val="center"/>
    </w:pPr>
    <w:rPr>
      <w:sz w:val="21"/>
    </w:rPr>
    <w:tblPr>
      <w:jc w:val="center"/>
      <w:tblBorders>
        <w:top w:val="single" w:color="auto" w:sz="12" w:space="0"/>
        <w:bottom w:val="single" w:color="auto" w:sz="12" w:space="0"/>
        <w:insideH w:val="single" w:color="auto" w:sz="4" w:space="0"/>
        <w:insideV w:val="single" w:color="auto" w:sz="4" w:space="0"/>
      </w:tblBorders>
    </w:tblPr>
    <w:trPr>
      <w:trHeight w:val="374" w:hRule="atLeast"/>
      <w:jc w:val="center"/>
    </w:trPr>
    <w:tcPr>
      <w:vAlign w:val="center"/>
    </w:tcPr>
  </w:style>
  <w:style w:type="paragraph" w:customStyle="1" w:styleId="59">
    <w:name w:val="表题"/>
    <w:basedOn w:val="60"/>
    <w:qFormat/>
    <w:uiPriority w:val="0"/>
    <w:pPr>
      <w:numPr>
        <w:ilvl w:val="0"/>
        <w:numId w:val="0"/>
      </w:numPr>
      <w:tabs>
        <w:tab w:val="left" w:pos="420"/>
      </w:tabs>
      <w:spacing w:before="24" w:after="24" w:afterAutospacing="0" w:line="240" w:lineRule="auto"/>
      <w:ind w:firstLine="420"/>
    </w:pPr>
    <w:rPr>
      <w:sz w:val="21"/>
    </w:rPr>
  </w:style>
  <w:style w:type="paragraph" w:customStyle="1" w:styleId="60">
    <w:name w:val="图题"/>
    <w:basedOn w:val="57"/>
    <w:qFormat/>
    <w:uiPriority w:val="0"/>
    <w:pPr>
      <w:numPr>
        <w:ilvl w:val="0"/>
        <w:numId w:val="1"/>
      </w:numPr>
      <w:spacing w:after="100" w:afterAutospacing="1" w:line="400" w:lineRule="exact"/>
    </w:pPr>
    <w:rPr>
      <w:b/>
      <w:sz w:val="24"/>
    </w:rPr>
  </w:style>
  <w:style w:type="table" w:customStyle="1" w:styleId="61">
    <w:name w:val="表格样式智汇元"/>
    <w:basedOn w:val="19"/>
    <w:qFormat/>
    <w:uiPriority w:val="0"/>
    <w:pPr>
      <w:widowControl w:val="0"/>
      <w:spacing w:line="300" w:lineRule="exact"/>
      <w:jc w:val="both"/>
    </w:pPr>
    <w:rPr>
      <w:sz w:val="21"/>
    </w:rPr>
    <w:tblPr>
      <w:tblBorders>
        <w:top w:val="single" w:color="auto" w:sz="12" w:space="0"/>
        <w:bottom w:val="single" w:color="auto" w:sz="12" w:space="0"/>
        <w:insideH w:val="single" w:color="auto" w:sz="4" w:space="0"/>
        <w:insideV w:val="single" w:color="auto" w:sz="4" w:space="0"/>
      </w:tblBorders>
    </w:tblPr>
    <w:tcPr>
      <w:vAlign w:val="center"/>
    </w:tcPr>
  </w:style>
  <w:style w:type="character" w:customStyle="1" w:styleId="62">
    <w:name w:val="text_qrmdu"/>
    <w:basedOn w:val="21"/>
    <w:qFormat/>
    <w:uiPriority w:val="0"/>
  </w:style>
  <w:style w:type="paragraph" w:customStyle="1" w:styleId="63">
    <w:name w:val="a1"/>
    <w:basedOn w:val="1"/>
    <w:qFormat/>
    <w:uiPriority w:val="0"/>
    <w:pPr>
      <w:widowControl/>
      <w:spacing w:before="100" w:beforeAutospacing="1" w:after="100" w:afterAutospacing="1"/>
      <w:ind w:left="240" w:leftChars="100" w:right="100" w:rightChars="100"/>
      <w:jc w:val="left"/>
    </w:pPr>
    <w:rPr>
      <w:rFonts w:ascii="宋体" w:hAnsi="宋体"/>
      <w:color w:val="000000"/>
      <w:kern w:val="0"/>
      <w:sz w:val="24"/>
    </w:rPr>
  </w:style>
  <w:style w:type="paragraph" w:customStyle="1" w:styleId="64">
    <w:name w:val="A样式 小四 行距: 1.5 倍行距 首行缩进:  2 字符"/>
    <w:basedOn w:val="1"/>
    <w:qFormat/>
    <w:uiPriority w:val="0"/>
    <w:pPr>
      <w:ind w:firstLine="480"/>
    </w:pPr>
    <w:rPr>
      <w:rFonts w:ascii="Calibri" w:hAnsi="Calibri" w:cs="宋体"/>
      <w:szCs w:val="22"/>
    </w:rPr>
  </w:style>
  <w:style w:type="paragraph" w:customStyle="1" w:styleId="65">
    <w:name w:val="新正文"/>
    <w:basedOn w:val="1"/>
    <w:semiHidden/>
    <w:qFormat/>
    <w:uiPriority w:val="0"/>
    <w:pPr>
      <w:ind w:firstLine="480"/>
    </w:pPr>
    <w:rPr>
      <w:rFonts w:ascii="宋体" w:hAnsi="宋体" w:cs="宋体"/>
      <w:kern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9" Type="http://schemas.openxmlformats.org/officeDocument/2006/relationships/fontTable" Target="fontTable.xml"/><Relationship Id="rId78" Type="http://schemas.openxmlformats.org/officeDocument/2006/relationships/numbering" Target="numbering.xml"/><Relationship Id="rId77" Type="http://schemas.openxmlformats.org/officeDocument/2006/relationships/customXml" Target="../customXml/item1.xml"/><Relationship Id="rId76" Type="http://schemas.openxmlformats.org/officeDocument/2006/relationships/image" Target="media/image69.png"/><Relationship Id="rId75" Type="http://schemas.openxmlformats.org/officeDocument/2006/relationships/image" Target="media/image68.png"/><Relationship Id="rId74" Type="http://schemas.openxmlformats.org/officeDocument/2006/relationships/image" Target="media/image67.png"/><Relationship Id="rId73" Type="http://schemas.openxmlformats.org/officeDocument/2006/relationships/image" Target="media/image66.png"/><Relationship Id="rId72" Type="http://schemas.openxmlformats.org/officeDocument/2006/relationships/image" Target="media/image65.png"/><Relationship Id="rId71" Type="http://schemas.openxmlformats.org/officeDocument/2006/relationships/image" Target="media/image64.png"/><Relationship Id="rId70" Type="http://schemas.openxmlformats.org/officeDocument/2006/relationships/image" Target="media/image63.png"/><Relationship Id="rId7" Type="http://schemas.openxmlformats.org/officeDocument/2006/relationships/image" Target="media/image2.jpeg"/><Relationship Id="rId69" Type="http://schemas.openxmlformats.org/officeDocument/2006/relationships/image" Target="media/image62.png"/><Relationship Id="rId68" Type="http://schemas.openxmlformats.org/officeDocument/2006/relationships/image" Target="media/image61.png"/><Relationship Id="rId67" Type="http://schemas.openxmlformats.org/officeDocument/2006/relationships/image" Target="media/image60.png"/><Relationship Id="rId66" Type="http://schemas.openxmlformats.org/officeDocument/2006/relationships/image" Target="media/image59.png"/><Relationship Id="rId65" Type="http://schemas.openxmlformats.org/officeDocument/2006/relationships/image" Target="media/image58.png"/><Relationship Id="rId64" Type="http://schemas.openxmlformats.org/officeDocument/2006/relationships/image" Target="media/image57.png"/><Relationship Id="rId63" Type="http://schemas.openxmlformats.org/officeDocument/2006/relationships/image" Target="media/image56.png"/><Relationship Id="rId62" Type="http://schemas.openxmlformats.org/officeDocument/2006/relationships/image" Target="media/image55.png"/><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image" Target="media/image1.jpeg"/><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png"/><Relationship Id="rId56" Type="http://schemas.openxmlformats.org/officeDocument/2006/relationships/image" Target="media/image49.pn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png"/><Relationship Id="rId50" Type="http://schemas.openxmlformats.org/officeDocument/2006/relationships/image" Target="media/image43.png"/><Relationship Id="rId5" Type="http://schemas.openxmlformats.org/officeDocument/2006/relationships/theme" Target="theme/theme1.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footer" Target="footer2.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jpeg"/><Relationship Id="rId35" Type="http://schemas.openxmlformats.org/officeDocument/2006/relationships/image" Target="media/image28.jpeg"/><Relationship Id="rId34" Type="http://schemas.openxmlformats.org/officeDocument/2006/relationships/image" Target="media/image27.jpeg"/><Relationship Id="rId33" Type="http://schemas.openxmlformats.org/officeDocument/2006/relationships/image" Target="media/image26.jpeg"/><Relationship Id="rId32" Type="http://schemas.openxmlformats.org/officeDocument/2006/relationships/image" Target="media/image25.png"/><Relationship Id="rId31" Type="http://schemas.openxmlformats.org/officeDocument/2006/relationships/image" Target="media/image24.jpeg"/><Relationship Id="rId30" Type="http://schemas.openxmlformats.org/officeDocument/2006/relationships/image" Target="media/image23.emf"/><Relationship Id="rId3" Type="http://schemas.openxmlformats.org/officeDocument/2006/relationships/footer" Target="footer1.xml"/><Relationship Id="rId29" Type="http://schemas.openxmlformats.org/officeDocument/2006/relationships/oleObject" Target="embeddings/oleObject2.bin"/><Relationship Id="rId28" Type="http://schemas.openxmlformats.org/officeDocument/2006/relationships/image" Target="media/image22.wmf"/><Relationship Id="rId27" Type="http://schemas.openxmlformats.org/officeDocument/2006/relationships/image" Target="media/image21.wmf"/><Relationship Id="rId26" Type="http://schemas.openxmlformats.org/officeDocument/2006/relationships/image" Target="media/image20.wmf"/><Relationship Id="rId25" Type="http://schemas.openxmlformats.org/officeDocument/2006/relationships/image" Target="media/image19.wmf"/><Relationship Id="rId24" Type="http://schemas.openxmlformats.org/officeDocument/2006/relationships/image" Target="media/image18.wmf"/><Relationship Id="rId23" Type="http://schemas.openxmlformats.org/officeDocument/2006/relationships/image" Target="media/image17.wmf"/><Relationship Id="rId22" Type="http://schemas.openxmlformats.org/officeDocument/2006/relationships/image" Target="media/image16.emf"/><Relationship Id="rId21" Type="http://schemas.openxmlformats.org/officeDocument/2006/relationships/image" Target="media/image15.emf"/><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emf"/><Relationship Id="rId15" Type="http://schemas.openxmlformats.org/officeDocument/2006/relationships/image" Target="media/image9.jpeg"/><Relationship Id="rId14" Type="http://schemas.openxmlformats.org/officeDocument/2006/relationships/image" Target="media/image8.emf"/><Relationship Id="rId13" Type="http://schemas.openxmlformats.org/officeDocument/2006/relationships/oleObject" Target="embeddings/oleObject1.bin"/><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113</Pages>
  <Words>8967</Words>
  <Characters>9873</Characters>
  <Lines>330</Lines>
  <Paragraphs>92</Paragraphs>
  <TotalTime>12</TotalTime>
  <ScaleCrop>false</ScaleCrop>
  <LinksUpToDate>false</LinksUpToDate>
  <CharactersWithSpaces>9944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2023-06-05T03:31:00Z</dcterms:created>
  <dc:creator>Blue。</dc:creator>
  <cp:lastModifiedBy>Blue。</cp:lastModifiedBy>
  <dcterms:modified xsi:type="dcterms:W3CDTF">2025-04-06T10:19:26Z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08239CE0B6CD461E97D4F1434FF5323F_13</vt:lpwstr>
  </property>
  <property fmtid="{D5CDD505-2E9C-101B-9397-08002B2CF9AE}" pid="4" name="KSOTemplateDocerSaveRecord">
    <vt:lpwstr>eyJoZGlkIjoiNTVkNDBlNGFkMjY1NDBlYWU2NDA0NjQxNGFiNGUwNTQiLCJ1c2VySWQiOiI0MzE1NDcxMjQifQ==</vt:lpwstr>
  </property>
</Properties>
</file>