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6D37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关于鄂温克族自治旗转移支付2021年执行及2022年预算安排情况说明</w:t>
      </w:r>
    </w:p>
    <w:p w14:paraId="06F0FA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 w14:paraId="180A0F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年，上级财政对我旗各类补助收入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125,677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万元，比上年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减少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25,317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下降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6.77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%，其中：返还性收入和一般性转移支付收入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109,106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万元、各类专项转移支付收入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16,571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万元。</w:t>
      </w:r>
    </w:p>
    <w:p w14:paraId="14DAA8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按照现行财政管理体制下的补助及上解相关原则测算，2022年一般公共预算综合财力为167,938万元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，其中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一般公共预算收入95,717万元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，比2021年实际完成数增长21.35%；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上级补助收入70,974万元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；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上年结余收入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1,041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万元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；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调入预算稳定调节基金479万元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；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专项上解上级支出-457万元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；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一般债务还本支出730万元。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1NzUyNTMyNjI2NTQwZmQyODgzODY1MzM4ZjIyZTYifQ=="/>
  </w:docVars>
  <w:rsids>
    <w:rsidRoot w:val="409160A1"/>
    <w:rsid w:val="409160A1"/>
    <w:rsid w:val="76B2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219</Words>
  <Characters>293</Characters>
  <Lines>0</Lines>
  <Paragraphs>0</Paragraphs>
  <TotalTime>4</TotalTime>
  <ScaleCrop>false</ScaleCrop>
  <LinksUpToDate>false</LinksUpToDate>
  <CharactersWithSpaces>293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2022-09-08T03:33:00Z</dcterms:created>
  <dc:creator>洪臣</dc:creator>
  <cp:lastModifiedBy>Administrator</cp:lastModifiedBy>
  <dcterms:modified xsi:type="dcterms:W3CDTF">2025-06-17T08:32:46Z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F21B7290A4F640B584D8A5981EB7B7DF</vt:lpwstr>
  </property>
  <property fmtid="{D5CDD505-2E9C-101B-9397-08002B2CF9AE}" pid="4" name="KSOTemplateDocerSaveRecord">
    <vt:lpwstr>eyJoZGlkIjoiMDczNTlkNmZkOWE2OTk5ODkyMGNmYWE0MDRkZDJkNjQiLCJ1c2VySWQiOiIyNTYzOTk4NTEifQ==</vt:lpwstr>
  </property>
</Properties>
</file>